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E1500" w14:textId="77777777" w:rsidR="006041CA" w:rsidRDefault="001271CC">
      <w:pPr>
        <w:spacing w:after="120" w:line="360" w:lineRule="auto"/>
        <w:rPr>
          <w:b/>
        </w:rPr>
      </w:pPr>
      <w:bookmarkStart w:id="0" w:name="_GoBack"/>
      <w:bookmarkEnd w:id="0"/>
      <w:r>
        <w:rPr>
          <w:noProof/>
        </w:rPr>
        <w:drawing>
          <wp:anchor distT="0" distB="0" distL="114300" distR="114300" simplePos="0" relativeHeight="251658240" behindDoc="0" locked="0" layoutInCell="1" hidden="0" allowOverlap="1" wp14:anchorId="51D4312E" wp14:editId="546F8DCC">
            <wp:simplePos x="0" y="0"/>
            <wp:positionH relativeFrom="column">
              <wp:posOffset>3242310</wp:posOffset>
            </wp:positionH>
            <wp:positionV relativeFrom="paragraph">
              <wp:posOffset>9525</wp:posOffset>
            </wp:positionV>
            <wp:extent cx="2899410" cy="899160"/>
            <wp:effectExtent l="0" t="0" r="0" b="0"/>
            <wp:wrapTopAndBottom distT="0" distB="0"/>
            <wp:docPr id="2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899410" cy="8991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69FAE03" wp14:editId="46E3A04D">
            <wp:simplePos x="0" y="0"/>
            <wp:positionH relativeFrom="column">
              <wp:posOffset>525780</wp:posOffset>
            </wp:positionH>
            <wp:positionV relativeFrom="paragraph">
              <wp:posOffset>10795</wp:posOffset>
            </wp:positionV>
            <wp:extent cx="2413000" cy="1037590"/>
            <wp:effectExtent l="0" t="0" r="0" b="0"/>
            <wp:wrapSquare wrapText="bothSides" distT="0" distB="0" distL="114300" distR="114300"/>
            <wp:docPr id="2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413000" cy="1037590"/>
                    </a:xfrm>
                    <a:prstGeom prst="rect">
                      <a:avLst/>
                    </a:prstGeom>
                    <a:ln/>
                  </pic:spPr>
                </pic:pic>
              </a:graphicData>
            </a:graphic>
          </wp:anchor>
        </w:drawing>
      </w:r>
    </w:p>
    <w:p w14:paraId="1FD88003" w14:textId="46E8C6E3" w:rsidR="006041CA" w:rsidRDefault="00B85546">
      <w:pPr>
        <w:spacing w:after="120" w:line="360" w:lineRule="auto"/>
        <w:rPr>
          <w:b/>
          <w:sz w:val="24"/>
          <w:szCs w:val="24"/>
        </w:rPr>
      </w:pPr>
      <w:r>
        <w:rPr>
          <w:noProof/>
        </w:rPr>
        <mc:AlternateContent>
          <mc:Choice Requires="wps">
            <w:drawing>
              <wp:anchor distT="45720" distB="45720" distL="114300" distR="114300" simplePos="0" relativeHeight="251661312" behindDoc="0" locked="0" layoutInCell="1" hidden="0" allowOverlap="1" wp14:anchorId="15ED89BC" wp14:editId="72FAE3A8">
                <wp:simplePos x="0" y="0"/>
                <wp:positionH relativeFrom="column">
                  <wp:posOffset>1825625</wp:posOffset>
                </wp:positionH>
                <wp:positionV relativeFrom="paragraph">
                  <wp:posOffset>3962400</wp:posOffset>
                </wp:positionV>
                <wp:extent cx="2370455" cy="1414145"/>
                <wp:effectExtent l="0" t="0" r="0" b="0"/>
                <wp:wrapSquare wrapText="bothSides" distT="45720" distB="45720" distL="114300" distR="114300"/>
                <wp:docPr id="219" name="Rectángulo 219"/>
                <wp:cNvGraphicFramePr/>
                <a:graphic xmlns:a="http://schemas.openxmlformats.org/drawingml/2006/main">
                  <a:graphicData uri="http://schemas.microsoft.com/office/word/2010/wordprocessingShape">
                    <wps:wsp>
                      <wps:cNvSpPr/>
                      <wps:spPr>
                        <a:xfrm>
                          <a:off x="0" y="0"/>
                          <a:ext cx="2370455" cy="1414145"/>
                        </a:xfrm>
                        <a:prstGeom prst="rect">
                          <a:avLst/>
                        </a:prstGeom>
                        <a:solidFill>
                          <a:srgbClr val="FFFFFF"/>
                        </a:solidFill>
                        <a:ln>
                          <a:noFill/>
                        </a:ln>
                      </wps:spPr>
                      <wps:txbx>
                        <w:txbxContent>
                          <w:p w14:paraId="0C16DC2E" w14:textId="77777777" w:rsidR="006041CA" w:rsidRDefault="001271CC">
                            <w:pPr>
                              <w:spacing w:line="258" w:lineRule="auto"/>
                              <w:jc w:val="center"/>
                              <w:textDirection w:val="btLr"/>
                            </w:pPr>
                            <w:r>
                              <w:rPr>
                                <w:b/>
                                <w:color w:val="6C0C4C"/>
                                <w:sz w:val="40"/>
                              </w:rPr>
                              <w:t>EJERCICIO FISCAL 2023</w:t>
                            </w: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ED89BC" id="Rectángulo 219" o:spid="_x0000_s1026" style="position:absolute;margin-left:143.75pt;margin-top:312pt;width:186.65pt;height:111.35pt;z-index:251661312;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" stroked="f">
                <v:textbox inset="2.53958mm,1.2694mm,2.53958mm,1.2694mm">
                  <w:txbxContent>
                    <w:p w14:paraId="0C16DC2E" w14:textId="77777777" w:rsidR="006041CA" w:rsidRDefault="001271CC">
                      <w:pPr>
                        <w:spacing w:line="258" w:lineRule="auto"/>
                        <w:jc w:val="center"/>
                        <w:textDirection w:val="btLr"/>
                      </w:pPr>
                      <w:r>
                        <w:rPr>
                          <w:b/>
                          <w:color w:val="6C0C4C"/>
                          <w:sz w:val="40"/>
                        </w:rPr>
                        <w:t>EJERCICIO FISCAL 2023</w:t>
                      </w:r>
                    </w:p>
                  </w:txbxContent>
                </v:textbox>
                <w10:wrap type="square"/>
              </v:rect>
            </w:pict>
          </mc:Fallback>
        </mc:AlternateContent>
      </w:r>
      <w:r>
        <w:rPr>
          <w:noProof/>
        </w:rPr>
        <mc:AlternateContent>
          <mc:Choice Requires="wps">
            <w:drawing>
              <wp:anchor distT="0" distB="0" distL="182880" distR="182880" simplePos="0" relativeHeight="251660288" behindDoc="0" locked="0" layoutInCell="1" hidden="0" allowOverlap="1" wp14:anchorId="25898370" wp14:editId="278434E2">
                <wp:simplePos x="0" y="0"/>
                <wp:positionH relativeFrom="margin">
                  <wp:posOffset>766763</wp:posOffset>
                </wp:positionH>
                <wp:positionV relativeFrom="page">
                  <wp:posOffset>3050858</wp:posOffset>
                </wp:positionV>
                <wp:extent cx="4695825" cy="6730365"/>
                <wp:effectExtent l="0" t="0" r="0" b="0"/>
                <wp:wrapSquare wrapText="bothSides" distT="0" distB="0" distL="182880" distR="182880"/>
                <wp:docPr id="218" name="Rectángulo 218"/>
                <wp:cNvGraphicFramePr/>
                <a:graphic xmlns:a="http://schemas.openxmlformats.org/drawingml/2006/main">
                  <a:graphicData uri="http://schemas.microsoft.com/office/word/2010/wordprocessingShape">
                    <wps:wsp>
                      <wps:cNvSpPr/>
                      <wps:spPr>
                        <a:xfrm>
                          <a:off x="3002850" y="419580"/>
                          <a:ext cx="4686300" cy="6720840"/>
                        </a:xfrm>
                        <a:prstGeom prst="rect">
                          <a:avLst/>
                        </a:prstGeom>
                        <a:noFill/>
                        <a:ln>
                          <a:noFill/>
                        </a:ln>
                      </wps:spPr>
                      <wps:txbx>
                        <w:txbxContent>
                          <w:p w14:paraId="07DFAF25" w14:textId="77777777" w:rsidR="006041CA" w:rsidRDefault="001271CC">
                            <w:pPr>
                              <w:spacing w:before="40" w:after="560" w:line="215" w:lineRule="auto"/>
                              <w:jc w:val="center"/>
                              <w:textDirection w:val="btLr"/>
                            </w:pPr>
                            <w:r>
                              <w:rPr>
                                <w:b/>
                                <w:color w:val="6C0C4C"/>
                                <w:sz w:val="52"/>
                              </w:rPr>
                              <w:t>EVALUACIÓN ESPECÍFICA DEL DESEMPEÑO DEL PROGRAMA PRESUPUESTARIO EDUCACIÓN BÁSICA</w:t>
                            </w:r>
                          </w:p>
                        </w:txbxContent>
                      </wps:txbx>
                      <wps:bodyPr spcFirstLastPara="1" wrap="square" lIns="0" tIns="0" rIns="0" bIns="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898370" id="Rectángulo 218" o:spid="_x0000_s1027" style="position:absolute;margin-left:60.4pt;margin-top:240.25pt;width:369.75pt;height:529.95pt;z-index:251660288;visibility:visible;mso-wrap-style:square;mso-wrap-distance-left:14.4pt;mso-wrap-distance-top:0;mso-wrap-distance-right:14.4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" filled="f" stroked="f">
                <v:textbox inset="0,0,0,0">
                  <w:txbxContent>
                    <w:p w14:paraId="07DFAF25" w14:textId="77777777" w:rsidR="006041CA" w:rsidRDefault="001271CC">
                      <w:pPr>
                        <w:spacing w:before="40" w:after="560" w:line="215" w:lineRule="auto"/>
                        <w:jc w:val="center"/>
                        <w:textDirection w:val="btLr"/>
                      </w:pPr>
                      <w:r>
                        <w:rPr>
                          <w:b/>
                          <w:color w:val="6C0C4C"/>
                          <w:sz w:val="52"/>
                        </w:rPr>
                        <w:t>EVALUACIÓN ESPECÍFICA DEL DESEMPEÑO DEL PROGRAMA PRESUPUESTARIO EDUCACIÓN BÁSICA</w:t>
                      </w:r>
                    </w:p>
                  </w:txbxContent>
                </v:textbox>
                <w10:wrap type="square" anchorx="margin" anchory="page"/>
              </v:rect>
            </w:pict>
          </mc:Fallback>
        </mc:AlternateContent>
      </w:r>
      <w:r>
        <w:br w:type="page"/>
      </w:r>
      <w:r>
        <w:lastRenderedPageBreak/>
        <w:t xml:space="preserve">  </w:t>
      </w:r>
    </w:p>
    <w:p w14:paraId="4FB3B2DA" w14:textId="77777777" w:rsidR="006041CA" w:rsidRDefault="001271CC">
      <w:pPr>
        <w:spacing w:after="120" w:line="360" w:lineRule="auto"/>
        <w:rPr>
          <w:b/>
          <w:sz w:val="24"/>
          <w:szCs w:val="24"/>
        </w:rPr>
      </w:pPr>
      <w:r>
        <w:rPr>
          <w:b/>
          <w:sz w:val="24"/>
          <w:szCs w:val="24"/>
        </w:rPr>
        <w:t>Para efectos de la presente evaluación, se entenderá por:</w:t>
      </w:r>
    </w:p>
    <w:p w14:paraId="3BE14524" w14:textId="77777777" w:rsidR="006041CA" w:rsidRDefault="001271CC">
      <w:pPr>
        <w:spacing w:after="120" w:line="360" w:lineRule="auto"/>
        <w:ind w:left="709" w:hanging="709"/>
        <w:jc w:val="both"/>
      </w:pPr>
      <w:r>
        <w:rPr>
          <w:b/>
        </w:rPr>
        <w:t>Análisis de Fortalezas, Oportunidades, Debilidades y Amenazas (FODA):</w:t>
      </w:r>
      <w:r>
        <w:t xml:space="preserve"> Herramienta de diagnóstico y de planeación estratégica que identifica las Fortalezas (factores críticos positivos internos), Oportunidades, (aspectos positivos externos que se pueden aprovechar), Debilidades, (factores críticos negativos internos que se deben controlar -eliminar o reducir-) y Amenazas, (aspectos negativos externos que podrían obstaculizar el logro de los objetivos) en el Diseño conceptual del Programa y la operación del mismo;</w:t>
      </w:r>
    </w:p>
    <w:p w14:paraId="4C2637CA" w14:textId="77777777" w:rsidR="006041CA" w:rsidRDefault="001271CC">
      <w:pPr>
        <w:spacing w:after="120" w:line="360" w:lineRule="auto"/>
        <w:ind w:left="709" w:hanging="709"/>
        <w:jc w:val="both"/>
      </w:pPr>
      <w:r>
        <w:rPr>
          <w:b/>
        </w:rPr>
        <w:t>Análisis de gabinete:</w:t>
      </w:r>
      <w:r>
        <w:t xml:space="preserve"> Conjunto de Actividades que involucra el acopio, la organización, sistematización y la valoración de información concentrada en registros administrativos, bases de datos, evaluaciones internas y/o externas, documentación pública, documentos oficiales y normativos;</w:t>
      </w:r>
    </w:p>
    <w:p w14:paraId="713725AF" w14:textId="25406F2A" w:rsidR="006041CA" w:rsidRDefault="001271CC">
      <w:pPr>
        <w:spacing w:after="120" w:line="360" w:lineRule="auto"/>
        <w:ind w:left="709" w:hanging="709"/>
        <w:jc w:val="both"/>
      </w:pPr>
      <w:r>
        <w:rPr>
          <w:b/>
        </w:rPr>
        <w:t xml:space="preserve">Aspectos Susceptibles de Mejora (ASM): </w:t>
      </w:r>
      <w:r>
        <w:t xml:space="preserve">Hallazgos, debilidades, oportunidades y amenazas identificadas en la evaluación externa, las cuales pueden ser atendidas para la mejora de los Programas con base en las recomendaciones y sugerencias señaladas por el Evaluador Externo; </w:t>
      </w:r>
    </w:p>
    <w:p w14:paraId="6BAD9A97" w14:textId="00B56B51" w:rsidR="006041CA" w:rsidRDefault="001271CC">
      <w:pPr>
        <w:spacing w:after="120" w:line="360" w:lineRule="auto"/>
        <w:ind w:left="709" w:hanging="709"/>
        <w:jc w:val="both"/>
      </w:pPr>
      <w:r>
        <w:rPr>
          <w:b/>
        </w:rPr>
        <w:t>Beneficiarios:</w:t>
      </w:r>
      <w:r>
        <w:t xml:space="preserve"> Población o área de enfoque; en el caso concreto de áreas de enfoque se hace referencia a beneficiarios que no pueden ser definidos como poblaciones; </w:t>
      </w:r>
    </w:p>
    <w:p w14:paraId="7E1081F8" w14:textId="735086D4" w:rsidR="006041CA" w:rsidRDefault="001271CC">
      <w:pPr>
        <w:spacing w:after="120" w:line="360" w:lineRule="auto"/>
        <w:ind w:left="709" w:hanging="709"/>
        <w:jc w:val="both"/>
      </w:pPr>
      <w:r>
        <w:rPr>
          <w:b/>
        </w:rPr>
        <w:t>Calidad del Gasto Público:</w:t>
      </w:r>
      <w:r>
        <w:t xml:space="preserve"> Abarca aquellos elementos que garantizan un uso eficaz y eficiente de los recursos públicos, con los objetivos de elevar el potencial de crecimiento de la economía; </w:t>
      </w:r>
    </w:p>
    <w:p w14:paraId="5A5715AE" w14:textId="77777777" w:rsidR="006041CA" w:rsidRDefault="001271CC">
      <w:pPr>
        <w:spacing w:after="120" w:line="360" w:lineRule="auto"/>
        <w:ind w:left="709" w:hanging="709"/>
        <w:jc w:val="both"/>
      </w:pPr>
      <w:r>
        <w:rPr>
          <w:b/>
        </w:rPr>
        <w:t>CPEUM:</w:t>
      </w:r>
      <w:r>
        <w:t xml:space="preserve"> Constitución Política de los Estados Unidos Mexicanos;</w:t>
      </w:r>
    </w:p>
    <w:p w14:paraId="59E7A786" w14:textId="77777777" w:rsidR="006041CA" w:rsidRDefault="001271CC">
      <w:pPr>
        <w:spacing w:after="120" w:line="360" w:lineRule="auto"/>
        <w:ind w:left="709" w:hanging="709"/>
        <w:jc w:val="both"/>
      </w:pPr>
      <w:r>
        <w:rPr>
          <w:b/>
        </w:rPr>
        <w:t>CPLADEM:</w:t>
      </w:r>
      <w:r>
        <w:t xml:space="preserve"> Coordinación de Planeación para el Desarrollo del Estado de Michoacán de Ocampo;</w:t>
      </w:r>
    </w:p>
    <w:p w14:paraId="2712AE6D" w14:textId="77777777" w:rsidR="006041CA" w:rsidRDefault="001271CC">
      <w:pPr>
        <w:spacing w:after="120" w:line="360" w:lineRule="auto"/>
        <w:ind w:left="709" w:hanging="709"/>
        <w:jc w:val="both"/>
      </w:pPr>
      <w:r>
        <w:rPr>
          <w:b/>
        </w:rPr>
        <w:t>Dependencias:</w:t>
      </w:r>
      <w:r>
        <w:t xml:space="preserve"> Las definidas en el artículo 17 de la Ley Orgánica de la Administración Pública del Estado de Michoacán de Ocampo;</w:t>
      </w:r>
    </w:p>
    <w:p w14:paraId="12BA50E9" w14:textId="77777777" w:rsidR="006041CA" w:rsidRDefault="001271CC">
      <w:pPr>
        <w:spacing w:after="120" w:line="360" w:lineRule="auto"/>
        <w:ind w:left="709" w:hanging="709"/>
        <w:jc w:val="both"/>
      </w:pPr>
      <w:r>
        <w:rPr>
          <w:b/>
        </w:rPr>
        <w:t>Entidades:</w:t>
      </w:r>
      <w:r>
        <w:t xml:space="preserve"> Las que conforman la Administración Pública Paraestatal, de acuerdo con el artículo 37 de la Ley Orgánica de la Administración Pública del Estado de Michoacán de Ocampo;</w:t>
      </w:r>
    </w:p>
    <w:p w14:paraId="10BEAECC" w14:textId="77777777" w:rsidR="006041CA" w:rsidRDefault="001271CC">
      <w:pPr>
        <w:spacing w:after="120" w:line="360" w:lineRule="auto"/>
        <w:ind w:left="709" w:hanging="709"/>
        <w:jc w:val="both"/>
      </w:pPr>
      <w:r>
        <w:rPr>
          <w:b/>
        </w:rPr>
        <w:t>Entidad Federativa:</w:t>
      </w:r>
      <w:r>
        <w:t xml:space="preserve"> Estado de Michoacán de Ocampo;</w:t>
      </w:r>
    </w:p>
    <w:p w14:paraId="7E448BC4" w14:textId="77777777" w:rsidR="006041CA" w:rsidRDefault="001271CC">
      <w:pPr>
        <w:spacing w:after="120" w:line="360" w:lineRule="auto"/>
        <w:ind w:left="709" w:hanging="709"/>
        <w:jc w:val="both"/>
      </w:pPr>
      <w:r>
        <w:rPr>
          <w:b/>
        </w:rPr>
        <w:lastRenderedPageBreak/>
        <w:t>Evaluación:</w:t>
      </w:r>
      <w:r>
        <w:t xml:space="preserve"> Análisis sistemático y objetivo de los Programas presupuestarios de gobierno que tiene como finalidad determinar la pertenencia y el logro de sus objetivos y metas, así como su eficiencia, eficacia, calidad, resultados, impacto y sostenibilidad;</w:t>
      </w:r>
    </w:p>
    <w:p w14:paraId="26B2DF3B" w14:textId="77777777" w:rsidR="006041CA" w:rsidRDefault="001271CC">
      <w:pPr>
        <w:spacing w:after="120" w:line="360" w:lineRule="auto"/>
        <w:ind w:left="709" w:hanging="709"/>
        <w:jc w:val="both"/>
      </w:pPr>
      <w:r>
        <w:rPr>
          <w:b/>
        </w:rPr>
        <w:t xml:space="preserve">Evaluación </w:t>
      </w:r>
      <w:r>
        <w:rPr>
          <w:b/>
          <w:highlight w:val="yellow"/>
        </w:rPr>
        <w:t>Específica</w:t>
      </w:r>
      <w:r>
        <w:rPr>
          <w:b/>
        </w:rPr>
        <w:t xml:space="preserve"> de Desempeño: </w:t>
      </w:r>
      <w:r>
        <w:t>Es una</w:t>
      </w:r>
      <w:r>
        <w:rPr>
          <w:b/>
        </w:rPr>
        <w:t xml:space="preserve"> </w:t>
      </w:r>
      <w:r>
        <w:t>valoración sintética del desempeño de los Programas durante un ejercicio fiscal, la cual incluya una síntesis de las unidades responsables del Programa;</w:t>
      </w:r>
    </w:p>
    <w:p w14:paraId="372AAC2E" w14:textId="77777777" w:rsidR="006041CA" w:rsidRDefault="001271CC">
      <w:pPr>
        <w:spacing w:after="120" w:line="360" w:lineRule="auto"/>
        <w:ind w:left="709" w:hanging="709"/>
        <w:jc w:val="both"/>
      </w:pPr>
      <w:r>
        <w:rPr>
          <w:b/>
        </w:rPr>
        <w:t>Fondo:</w:t>
      </w:r>
      <w:r>
        <w:t xml:space="preserve"> Fondo de Aportaciones para la Nómina Educativa y Gasto Operativo (FONE);</w:t>
      </w:r>
    </w:p>
    <w:p w14:paraId="7B1C4111" w14:textId="77777777" w:rsidR="006041CA" w:rsidRDefault="001271CC">
      <w:pPr>
        <w:spacing w:after="120" w:line="360" w:lineRule="auto"/>
        <w:ind w:left="709" w:hanging="709"/>
        <w:jc w:val="both"/>
      </w:pPr>
      <w:r>
        <w:rPr>
          <w:b/>
        </w:rPr>
        <w:t xml:space="preserve">Fuente de Información: </w:t>
      </w:r>
      <w:r>
        <w:t>Son los documentos, lineamientos normativos y bases de datos enviados por las Unidades Responsables del Gasto, se enlistan como fuentes primarias; en tanto que la información adicional que el evaluador haya utilizado para complementar respuestas o su justificación, y que ha sido tomada de sitios oficiales de internet, se enlista como fuentes secundarias;</w:t>
      </w:r>
    </w:p>
    <w:p w14:paraId="05F919A6" w14:textId="77777777" w:rsidR="006041CA" w:rsidRDefault="001271CC">
      <w:pPr>
        <w:spacing w:after="120" w:line="360" w:lineRule="auto"/>
        <w:ind w:left="709" w:hanging="709"/>
        <w:jc w:val="both"/>
      </w:pPr>
      <w:r>
        <w:rPr>
          <w:b/>
        </w:rPr>
        <w:t>INDETEC:</w:t>
      </w:r>
      <w:r>
        <w:t xml:space="preserve"> Instituto para el Desarrollo Técnico de las Haciendas Públicas, Organismo Técnico del Sistema Nacional de Coordinación Fiscal;</w:t>
      </w:r>
    </w:p>
    <w:p w14:paraId="40599B25" w14:textId="77777777" w:rsidR="006041CA" w:rsidRDefault="001271CC">
      <w:pPr>
        <w:spacing w:after="120" w:line="360" w:lineRule="auto"/>
        <w:ind w:left="709" w:hanging="709"/>
        <w:jc w:val="both"/>
      </w:pPr>
      <w:r>
        <w:rPr>
          <w:b/>
        </w:rPr>
        <w:t>Indicador de desempeño:</w:t>
      </w:r>
      <w:r>
        <w:t xml:space="preserve"> Expresión </w:t>
      </w:r>
      <w:r>
        <w:rPr>
          <w:highlight w:val="yellow"/>
        </w:rPr>
        <w:t>cuantitativa</w:t>
      </w:r>
      <w:r>
        <w:t xml:space="preserve"> o en su </w:t>
      </w:r>
      <w:r>
        <w:rPr>
          <w:highlight w:val="yellow"/>
        </w:rPr>
        <w:t>caso</w:t>
      </w:r>
      <w:r>
        <w:t xml:space="preserve">, cualitativa que proporciona un medio sencillo y fiable para medir logros, reflejar los cambios vinculados con las acciones del Programa, monitorear y evaluar sus resultados. Los indicadores del desempeño pueden ser estratégicos o de gestión; </w:t>
      </w:r>
    </w:p>
    <w:p w14:paraId="48A1A9DD" w14:textId="77777777" w:rsidR="006041CA" w:rsidRDefault="001271CC">
      <w:pPr>
        <w:spacing w:after="120" w:line="360" w:lineRule="auto"/>
        <w:ind w:left="709" w:hanging="709"/>
        <w:jc w:val="both"/>
      </w:pPr>
      <w:r>
        <w:rPr>
          <w:b/>
        </w:rPr>
        <w:t>Indicador de Gestión:</w:t>
      </w:r>
      <w:r>
        <w:t xml:space="preserve"> Aquel que mide el avance y logro en procesos y Actividades, es decir, sobre la forma en que los bienes y/o servicios públicos son generados y entregados. Incluye los indicadores de Actividades y de Componentes que entregan bienes y/o servicios para ser utilizados por otras instancias;</w:t>
      </w:r>
    </w:p>
    <w:p w14:paraId="7CFE71CD" w14:textId="77777777" w:rsidR="006041CA" w:rsidRDefault="001271CC">
      <w:pPr>
        <w:spacing w:after="120" w:line="360" w:lineRule="auto"/>
        <w:ind w:left="709" w:hanging="709"/>
        <w:jc w:val="both"/>
      </w:pPr>
      <w:r>
        <w:rPr>
          <w:b/>
        </w:rPr>
        <w:t>Indicador Estratégico:</w:t>
      </w:r>
      <w:r>
        <w:t xml:space="preserve"> Mide el grado de cumplimiento de los objetivos de las políticas públicas y de los Programas Presupuestarios, contribuye a corregir o fortalecer las estrategias y la orientación de los recursos e incluye indicadores de Fin, Propósito y de Componentes que consideran apoyos, bienes y/o servicios que impactan directamente a la población o área de enfoque. Impacta de manera directa en la población o área de enfoque;</w:t>
      </w:r>
    </w:p>
    <w:p w14:paraId="4860C29A" w14:textId="77777777" w:rsidR="006041CA" w:rsidRDefault="001271CC">
      <w:pPr>
        <w:spacing w:after="120" w:line="360" w:lineRule="auto"/>
        <w:ind w:left="709" w:hanging="709"/>
        <w:jc w:val="both"/>
      </w:pPr>
      <w:r>
        <w:rPr>
          <w:b/>
        </w:rPr>
        <w:t xml:space="preserve">LCF: </w:t>
      </w:r>
      <w:r>
        <w:t>Ley de Coordinación Fiscal;</w:t>
      </w:r>
    </w:p>
    <w:p w14:paraId="431674F9" w14:textId="77777777" w:rsidR="006041CA" w:rsidRDefault="001271CC">
      <w:pPr>
        <w:spacing w:after="120" w:line="360" w:lineRule="auto"/>
        <w:ind w:left="709" w:hanging="709"/>
        <w:jc w:val="both"/>
      </w:pPr>
      <w:r>
        <w:rPr>
          <w:b/>
        </w:rPr>
        <w:t>LDFEFM:</w:t>
      </w:r>
      <w:r>
        <w:t xml:space="preserve"> Ley de Disciplina Financiera de las Entidades Federativas y los Municipios;</w:t>
      </w:r>
    </w:p>
    <w:p w14:paraId="4F9244EE" w14:textId="77777777" w:rsidR="006041CA" w:rsidRDefault="001271CC">
      <w:pPr>
        <w:spacing w:after="120" w:line="360" w:lineRule="auto"/>
        <w:ind w:left="709" w:hanging="709"/>
        <w:jc w:val="both"/>
      </w:pPr>
      <w:r>
        <w:rPr>
          <w:b/>
        </w:rPr>
        <w:t xml:space="preserve">LGCG: </w:t>
      </w:r>
      <w:r>
        <w:t>Ley General de Contabilidad Gubernamental;</w:t>
      </w:r>
    </w:p>
    <w:p w14:paraId="396B3B73" w14:textId="77777777" w:rsidR="006041CA" w:rsidRDefault="001271CC">
      <w:pPr>
        <w:spacing w:after="120" w:line="360" w:lineRule="auto"/>
        <w:ind w:left="709" w:hanging="709"/>
        <w:jc w:val="both"/>
      </w:pPr>
      <w:r>
        <w:rPr>
          <w:b/>
        </w:rPr>
        <w:t xml:space="preserve">LGTAIP: </w:t>
      </w:r>
      <w:r>
        <w:t>Ley General de Transparencia y Acceso a la Información Pública;</w:t>
      </w:r>
    </w:p>
    <w:p w14:paraId="61D46E36" w14:textId="77777777" w:rsidR="006041CA" w:rsidRDefault="001271CC">
      <w:pPr>
        <w:spacing w:after="120" w:line="360" w:lineRule="auto"/>
        <w:ind w:left="709" w:hanging="709"/>
        <w:jc w:val="both"/>
      </w:pPr>
      <w:r>
        <w:rPr>
          <w:b/>
        </w:rPr>
        <w:t xml:space="preserve">LFPRH: </w:t>
      </w:r>
      <w:r>
        <w:t>Ley Federal de Presupuesto y Responsabilidad Hacendaria;</w:t>
      </w:r>
    </w:p>
    <w:p w14:paraId="2D94F9BD" w14:textId="77777777" w:rsidR="006041CA" w:rsidRDefault="001271CC">
      <w:pPr>
        <w:spacing w:after="120" w:line="360" w:lineRule="auto"/>
        <w:ind w:left="709" w:hanging="709"/>
        <w:jc w:val="both"/>
      </w:pPr>
      <w:r>
        <w:rPr>
          <w:b/>
        </w:rPr>
        <w:t xml:space="preserve">Matriz de Indicadores para Resultados (MIR): </w:t>
      </w:r>
      <w:r>
        <w:t>Herramienta que permite vincular los distintos instrumentos para el diseño, organización, ejecución, seguimiento, evaluación y mejora de los Programas, resultado de un proceso de planeación realizado con base en la Metodología de Marco Lógico, conforme a lo señalado en la LGCG;</w:t>
      </w:r>
    </w:p>
    <w:p w14:paraId="473DA59F" w14:textId="77777777" w:rsidR="006041CA" w:rsidRDefault="001271CC">
      <w:pPr>
        <w:spacing w:after="120" w:line="360" w:lineRule="auto"/>
        <w:ind w:left="709" w:hanging="709"/>
        <w:jc w:val="both"/>
      </w:pPr>
      <w:r>
        <w:rPr>
          <w:b/>
        </w:rPr>
        <w:t xml:space="preserve">PAE: </w:t>
      </w:r>
      <w:r>
        <w:t>Programa Anual de Evaluación 2024;</w:t>
      </w:r>
    </w:p>
    <w:p w14:paraId="23079610" w14:textId="77777777" w:rsidR="006041CA" w:rsidRDefault="001271CC">
      <w:pPr>
        <w:spacing w:after="120" w:line="360" w:lineRule="auto"/>
        <w:ind w:left="709" w:hanging="709"/>
        <w:jc w:val="both"/>
      </w:pPr>
      <w:r>
        <w:rPr>
          <w:b/>
        </w:rPr>
        <w:t>PEF:</w:t>
      </w:r>
      <w:r>
        <w:t xml:space="preserve"> Presupuesto de Egresos de la Federación;</w:t>
      </w:r>
    </w:p>
    <w:p w14:paraId="75149A5B" w14:textId="77777777" w:rsidR="006041CA" w:rsidRDefault="001271CC">
      <w:pPr>
        <w:spacing w:after="120" w:line="360" w:lineRule="auto"/>
        <w:ind w:left="426" w:hanging="426"/>
        <w:jc w:val="both"/>
      </w:pPr>
      <w:r>
        <w:rPr>
          <w:b/>
        </w:rPr>
        <w:t xml:space="preserve">Pp: </w:t>
      </w:r>
      <w:r>
        <w:t>Programa presupuestario. Categoría programática que permite organizar, en forma representativa y homogénea, las asignaciones de recursos para el cumplimiento de sus objetivos y metas. También, es un conjunto integrado de Actividades, bienes y servicios dirigidos a un mismo tipo de beneficiario o área de enfoque, cuyo Propósito y fin dan cuenta del beneficio alcanzado entre la población beneficiaria;</w:t>
      </w:r>
    </w:p>
    <w:p w14:paraId="32729E41" w14:textId="77777777" w:rsidR="006041CA" w:rsidRDefault="001271CC">
      <w:pPr>
        <w:spacing w:after="120" w:line="360" w:lineRule="auto"/>
        <w:ind w:left="709" w:hanging="709"/>
        <w:jc w:val="both"/>
      </w:pPr>
      <w:r>
        <w:rPr>
          <w:b/>
        </w:rPr>
        <w:t>POA:</w:t>
      </w:r>
      <w:r>
        <w:t xml:space="preserve"> Programa Operativo Anual del Ente Público;</w:t>
      </w:r>
    </w:p>
    <w:p w14:paraId="722DED91" w14:textId="77777777" w:rsidR="006041CA" w:rsidRDefault="001271CC">
      <w:pPr>
        <w:spacing w:after="120" w:line="360" w:lineRule="auto"/>
        <w:ind w:left="709" w:hanging="709"/>
        <w:jc w:val="both"/>
      </w:pPr>
      <w:r>
        <w:rPr>
          <w:b/>
        </w:rPr>
        <w:t>Población o área de enfoque atendida:</w:t>
      </w:r>
      <w:r>
        <w:t xml:space="preserve"> Población o área de enfoque que es destinataria o beneficiaria de los Componentes o entregables del Programa presupuestario en un ejercicio fiscal determinado;</w:t>
      </w:r>
    </w:p>
    <w:p w14:paraId="66FFB83A" w14:textId="77777777" w:rsidR="006041CA" w:rsidRDefault="001271CC">
      <w:pPr>
        <w:spacing w:after="120" w:line="360" w:lineRule="auto"/>
        <w:ind w:left="709" w:hanging="709"/>
        <w:jc w:val="both"/>
      </w:pPr>
      <w:r>
        <w:rPr>
          <w:b/>
        </w:rPr>
        <w:t>Población o área de enfoque objetivo:</w:t>
      </w:r>
      <w:r>
        <w:t xml:space="preserve"> Población o área de enfoque que el Programa presupuestario tiene planeado o Programado atender para cubrir la población o área de enfoque potencial, y que cumpla con los criterios de elegibilidad establecidos en su normativa. La población o área de enfoque objetivo de un Programa presupuestario debe ser medida en la misma unidad que la población o área de enfoque potencial; </w:t>
      </w:r>
    </w:p>
    <w:p w14:paraId="7B4B8047" w14:textId="77777777" w:rsidR="006041CA" w:rsidRDefault="001271CC">
      <w:pPr>
        <w:spacing w:after="120" w:line="360" w:lineRule="auto"/>
        <w:ind w:left="709" w:hanging="709"/>
        <w:jc w:val="both"/>
      </w:pPr>
      <w:r>
        <w:rPr>
          <w:b/>
        </w:rPr>
        <w:t>Población o área de enfoque potencial:</w:t>
      </w:r>
      <w:r>
        <w:t xml:space="preserve"> Población o área de enfoque total que presenta el problema o necesidad y que requiere de una intervención que justifica la existencia del Programa presupuestario y que por lo tanto pudiera ser elegible para su atención o ejercicio de acciones;</w:t>
      </w:r>
    </w:p>
    <w:p w14:paraId="1A8523A0" w14:textId="77777777" w:rsidR="006041CA" w:rsidRDefault="001271CC">
      <w:pPr>
        <w:spacing w:after="120" w:line="360" w:lineRule="auto"/>
        <w:ind w:left="709" w:hanging="709"/>
        <w:jc w:val="both"/>
      </w:pPr>
      <w:r>
        <w:rPr>
          <w:b/>
        </w:rPr>
        <w:t>Programa:</w:t>
      </w:r>
      <w:r>
        <w:t xml:space="preserve"> Educación Básica;</w:t>
      </w:r>
    </w:p>
    <w:p w14:paraId="00B4601C" w14:textId="77777777" w:rsidR="006041CA" w:rsidRDefault="001271CC">
      <w:pPr>
        <w:spacing w:after="120" w:line="360" w:lineRule="auto"/>
        <w:ind w:left="709" w:hanging="709"/>
        <w:jc w:val="both"/>
      </w:pPr>
      <w:r>
        <w:rPr>
          <w:b/>
        </w:rPr>
        <w:t xml:space="preserve">Problema o necesidad: </w:t>
      </w:r>
      <w:r>
        <w:t xml:space="preserve">Situación que motiva el diseño e implementación de una intervención pública, ya sea porque atiende a una condición socialmente no deseable o a cualquier demanda que deba ser atendida por una función de gobierno; </w:t>
      </w:r>
    </w:p>
    <w:p w14:paraId="22D7C161" w14:textId="77777777" w:rsidR="006041CA" w:rsidRDefault="001271CC">
      <w:pPr>
        <w:spacing w:after="120" w:line="360" w:lineRule="auto"/>
        <w:ind w:left="709" w:hanging="709"/>
        <w:jc w:val="both"/>
      </w:pPr>
      <w:r>
        <w:rPr>
          <w:b/>
        </w:rPr>
        <w:t>SSM:</w:t>
      </w:r>
      <w:r>
        <w:t xml:space="preserve"> Secretaría de Salud del Estado de Michoacán;</w:t>
      </w:r>
    </w:p>
    <w:p w14:paraId="4A226A59" w14:textId="77777777" w:rsidR="006041CA" w:rsidRDefault="001271CC">
      <w:pPr>
        <w:spacing w:after="120" w:line="360" w:lineRule="auto"/>
        <w:ind w:left="708" w:hanging="708"/>
        <w:jc w:val="both"/>
      </w:pPr>
      <w:r>
        <w:rPr>
          <w:b/>
        </w:rPr>
        <w:t xml:space="preserve">Sistema de Evaluación del Desempeño (SED): </w:t>
      </w:r>
      <w:r>
        <w:t>Conjunto de elementos metodológicos que permiten realizar una valoración objetiva del desempeño de los Programas, bajo la verificación del grado de cumplimiento de metas y objetivos, con base en indicadores estratégicos y de gestión que permitan conocer el impacto social y económico de los Programas y de los proyectos;</w:t>
      </w:r>
    </w:p>
    <w:p w14:paraId="2556C1F2" w14:textId="77777777" w:rsidR="006041CA" w:rsidRDefault="001271CC">
      <w:pPr>
        <w:spacing w:after="120" w:line="360" w:lineRule="auto"/>
        <w:ind w:left="709" w:hanging="709"/>
        <w:jc w:val="both"/>
        <w:rPr>
          <w:b/>
        </w:rPr>
      </w:pPr>
      <w:r>
        <w:rPr>
          <w:b/>
        </w:rPr>
        <w:t xml:space="preserve">SRFT: </w:t>
      </w:r>
      <w:r>
        <w:t>Sistema de Recursos Federales Transferidos;</w:t>
      </w:r>
      <w:r>
        <w:rPr>
          <w:b/>
        </w:rPr>
        <w:t xml:space="preserve"> </w:t>
      </w:r>
    </w:p>
    <w:p w14:paraId="0C5B2866" w14:textId="77777777" w:rsidR="006041CA" w:rsidRDefault="001271CC">
      <w:pPr>
        <w:spacing w:after="120" w:line="360" w:lineRule="auto"/>
        <w:ind w:left="709" w:hanging="709"/>
        <w:jc w:val="both"/>
      </w:pPr>
      <w:r>
        <w:rPr>
          <w:b/>
        </w:rPr>
        <w:t>TdR:</w:t>
      </w:r>
      <w:r>
        <w:t xml:space="preserve"> Términos de Referencia de la evaluación;</w:t>
      </w:r>
    </w:p>
    <w:p w14:paraId="20298F79" w14:textId="77777777" w:rsidR="006041CA" w:rsidRDefault="001271CC">
      <w:pPr>
        <w:spacing w:after="120" w:line="360" w:lineRule="auto"/>
        <w:ind w:left="709" w:hanging="709"/>
        <w:jc w:val="both"/>
      </w:pPr>
      <w:r>
        <w:rPr>
          <w:b/>
        </w:rPr>
        <w:t>Valor Público:</w:t>
      </w:r>
      <w:r>
        <w:t xml:space="preserve"> Valor creado por el Estado a través de servicios, leyes, regulaciones y otras acciones. El valor se crea a través de transacciones individuales con los ciudadanos, garantizando sus derechos, satisfaciendo sus demandas y prestándoles servicios de calidad. </w:t>
      </w:r>
    </w:p>
    <w:p w14:paraId="7571D432" w14:textId="77777777" w:rsidR="006041CA" w:rsidRDefault="001271CC">
      <w:pPr>
        <w:spacing w:after="120" w:line="360" w:lineRule="auto"/>
        <w:rPr>
          <w:b/>
          <w:sz w:val="24"/>
          <w:szCs w:val="24"/>
        </w:rPr>
      </w:pPr>
      <w:r>
        <w:br w:type="page"/>
      </w:r>
    </w:p>
    <w:p w14:paraId="2AE667B2" w14:textId="77777777" w:rsidR="006041CA" w:rsidRDefault="001271CC">
      <w:pPr>
        <w:spacing w:after="120" w:line="360" w:lineRule="auto"/>
        <w:rPr>
          <w:b/>
          <w:color w:val="660033"/>
        </w:rPr>
      </w:pPr>
      <w:r>
        <w:rPr>
          <w:b/>
          <w:color w:val="660033"/>
        </w:rPr>
        <w:t>Resumen Ejecutivo</w:t>
      </w:r>
    </w:p>
    <w:p w14:paraId="6424CFEF" w14:textId="77777777" w:rsidR="006041CA" w:rsidRDefault="001271CC">
      <w:pPr>
        <w:spacing w:after="120" w:line="360" w:lineRule="auto"/>
        <w:jc w:val="both"/>
      </w:pPr>
      <w:r>
        <w:t xml:space="preserve">Conforme a lo dispuesto en el artículo 26 de la LCF, con cargo a las aportaciones del FONE se apoya a las entidades federativas con recursos económicos complementarios para ejercer las atribuciones que, en materia de Educación Básica y Normal, de manera exclusiva se les asignan en los artículos 114 y 117 de la Ley General de Educación vigente. </w:t>
      </w:r>
    </w:p>
    <w:p w14:paraId="7349ED78" w14:textId="77777777" w:rsidR="006041CA" w:rsidRDefault="001271CC">
      <w:pPr>
        <w:spacing w:after="120" w:line="360" w:lineRule="auto"/>
        <w:jc w:val="both"/>
      </w:pPr>
      <w:r>
        <w:t>El Propósito del Fondo es apoyar a las entidades federativas para cubrir los gastos de operación asociados al cumplimiento de las atribuciones que tienen asignadas en materia de Educación Básica y Normal, específicamente para el desarrollo de las acciones relativas a la planeación, capacitación, operación, verificación, seguimiento, promoción y difusión de la prestación de servicios de Educación Básica, incluyendo la indígena, y de formación, actualización, capacitación y superación profesional para los maestros de Educación Básica y, en su caso, al pago de contribuciones locales de las plazas conciliadas.</w:t>
      </w:r>
    </w:p>
    <w:p w14:paraId="76281924" w14:textId="77777777" w:rsidR="006041CA" w:rsidRDefault="001271CC">
      <w:pPr>
        <w:spacing w:after="120" w:line="360" w:lineRule="auto"/>
        <w:jc w:val="both"/>
      </w:pPr>
      <w:r>
        <w:t>En el Estado de Michoacán de Ocampo, el Programa de AE01 Educación Básica, ejercicio fiscal 2023, es uno de los Programas presupuestarios que está a cargo de la Secretaría de Educación del Estado de Michoacán, en donde se ejercen recursos financieros correspondientes al Ramo General 33 del PEF, específicamente del Fondo de Aportaciones para la Nómina Educativa y Gasto Operativo (FONE).</w:t>
      </w:r>
    </w:p>
    <w:p w14:paraId="7B59605A" w14:textId="77777777" w:rsidR="006041CA" w:rsidRDefault="001271CC">
      <w:pPr>
        <w:spacing w:after="120" w:line="360" w:lineRule="auto"/>
        <w:jc w:val="both"/>
      </w:pPr>
      <w:r>
        <w:t>Este Programa tiene como objetivo principal garantizar la calidad y cobertura de la Educación Básica, atendiendo a niños y niñas de 3 a 15 años matriculados en escuelas públicas, por lo que la presente evaluación se centra en la alineación de los resultados con la normatividad federal, el cumplimiento de metas, la cobertura y el uso de los recursos, además de identificar aspectos susceptibles de mejora.</w:t>
      </w:r>
    </w:p>
    <w:p w14:paraId="2ED25AA7" w14:textId="77777777" w:rsidR="006041CA" w:rsidRDefault="001271CC">
      <w:pPr>
        <w:spacing w:after="120" w:line="360" w:lineRule="auto"/>
        <w:jc w:val="both"/>
      </w:pPr>
      <w:r>
        <w:t>El Programa se encuentra alineado con la normatividad federal, incluyendo la Ley de Coordinación Fiscal y la Matriz de Indicadores para Resultados (MIR) del FONE, lo cual garantiza la coherencia entre los objetivos estatales y federales. Además, los indicadores definidos en la MIR cumplen con criterios de claridad, relevancia y adecuación establecidos por el Consejo Nacional de Armonización Contable (CONAC), lo que permite medir dimensiones clave del desempeño, como la eficiencia terminal, la tasa de escolarización y el abandono escolar en los niveles de Educación Básica; no obstante, se identificaron áreas de mejora, ya que los indicadores de Componente no evalúan la calidad ni la eficiencia de los servicios, limitando la visión integral del desempeño.</w:t>
      </w:r>
    </w:p>
    <w:p w14:paraId="56EC792E" w14:textId="77777777" w:rsidR="006041CA" w:rsidRDefault="001271CC">
      <w:pPr>
        <w:spacing w:after="120" w:line="360" w:lineRule="auto"/>
        <w:jc w:val="both"/>
      </w:pPr>
      <w:r>
        <w:t>En cuanto a la población beneficiaria, el Programa atendió a 728,848 estudiantes durante el ciclo escolar 2022-2023, cifra que coincide con la población objetivo definida; sin embargo, aunque se logró una eficiencia de cobertura del 100%, la cobertura general disminuyó del 89.21% en 2021 al 72.56% en 2023 debido a cambios en la población potencial. Durante el periodo evaluado, los resultados de los indicadores muestran un cumplimiento parcial, y aunque se lograron avances significativos en algunos objetivos, otros presentaron variaciones negativas, como el incremento en el abandono escolar en el nivel educativo de Primaria, atribuible a factores externos que afectan la capacidad del Programa para cumplir plenamente sus metas.</w:t>
      </w:r>
    </w:p>
    <w:p w14:paraId="48F1C29C" w14:textId="77777777" w:rsidR="006041CA" w:rsidRDefault="001271CC">
      <w:pPr>
        <w:spacing w:after="120" w:line="360" w:lineRule="auto"/>
        <w:jc w:val="both"/>
      </w:pPr>
      <w:r>
        <w:t>En cuanto al financiamiento, los recursos ejercidos aumentaron en términos nominales entre 2021 y 2023, alcanzando un gasto promedio por beneficiario de $26,376.44 pesos en 2023. Respecto a la relación costo-efectividad del Programa, ésta fue calificada como “Aceptable”, lo que indica un uso eficiente de los recursos en función de la población atendida; sin embargo, el incremento en los costos promedio por beneficiario refleja desafíos en la gestión del presupuesto, especialmente considerando la disminución de la población objetivo en el mismo periodo.</w:t>
      </w:r>
    </w:p>
    <w:p w14:paraId="7DC3BFE6" w14:textId="77777777" w:rsidR="006041CA" w:rsidRDefault="001271CC">
      <w:pPr>
        <w:spacing w:after="120" w:line="360" w:lineRule="auto"/>
        <w:jc w:val="both"/>
      </w:pPr>
      <w:r>
        <w:t>El Programa incorporó recomendaciones derivadas de la evaluación realizada en 2022, destacando la necesidad de desarrollar estrategias para mejorar la planeación institucional y la cobertura. Estas acciones incluyen la definición y cuantificación de las poblaciones potencial, objetivo y atendida, así como el análisis de fortalezas y debilidades en la gestión; y aunque se reportaron avances en el seguimiento de estas recomendaciones, al cierre del segundo trimestre de 2024 sólo se había cumplido con el 20% de las actividades planeadas, evidenciando la necesidad de acelerar el proceso para cumplir con los plazos establecidos.</w:t>
      </w:r>
    </w:p>
    <w:p w14:paraId="59A5C39A" w14:textId="77777777" w:rsidR="006041CA" w:rsidRDefault="001271CC">
      <w:pPr>
        <w:spacing w:after="120" w:line="360" w:lineRule="auto"/>
        <w:jc w:val="both"/>
      </w:pPr>
      <w:r>
        <w:t>De lo anterior, se identifica que el Programa AE01 Educación Básica ha logrado avances importantes en la prestación de servicios educativos y en el uso eficiente de los recursos, pero enfrenta retos significativos en la evaluación de calidad, la planeación estratégica y el cumplimiento de metas específicas. Asimismo, es fundamental fortalecer la capacidad de respuesta ante factores externos y mejorar los indicadores para medir dimensiones como la calidad y la eficiencia. De igual manera, el seguimiento oportuno a las recomendaciones y la mejora continua en la planeación, serán clave para maximizar el impacto del Programa en los próximos ciclos escolares.</w:t>
      </w:r>
    </w:p>
    <w:p w14:paraId="474DDE43" w14:textId="77777777" w:rsidR="006041CA" w:rsidRDefault="001271CC">
      <w:pPr>
        <w:spacing w:after="120" w:line="360" w:lineRule="auto"/>
        <w:jc w:val="both"/>
      </w:pPr>
      <w:r>
        <w:t>Por último, derivado del análisis de Fortalezas, Oportunidades, Debilidades y Amenazas se emitieron las siguientes sugerencias de mejora, definidas en el anexo correspondiente a las recomendaciones, que son:</w:t>
      </w:r>
    </w:p>
    <w:p w14:paraId="115478B9" w14:textId="77777777" w:rsidR="006041CA" w:rsidRDefault="001271CC">
      <w:pPr>
        <w:spacing w:after="120" w:line="360" w:lineRule="auto"/>
        <w:jc w:val="both"/>
      </w:pPr>
      <w:r>
        <w:t>1: Revisar la definición de los Medios de Verificación y Fuentes de Información de la MIR del Pp, así como su temporalidad del reporte de dicha información, con el objeto de asegurar la coherencia, pertinencia y oportunidad de la información recopilada para medir los avances y resultados del Programa, garantizando que los datos reportados sean confiables, verificables y alineados con los indicadores establecidos.</w:t>
      </w:r>
    </w:p>
    <w:p w14:paraId="70A81683" w14:textId="77777777" w:rsidR="006041CA" w:rsidRDefault="001271CC">
      <w:pPr>
        <w:spacing w:after="120" w:line="360" w:lineRule="auto"/>
        <w:jc w:val="both"/>
      </w:pPr>
      <w:r>
        <w:t>2: Definir un indicador que mida la dimensión de Eficacia y Calidad a nivel de Componente, con el objeto de evaluar el grado de cumplimiento del objetivo y la oportunidad con la que se entregan los servicios educativos.</w:t>
      </w:r>
    </w:p>
    <w:p w14:paraId="7B74A077" w14:textId="77777777" w:rsidR="006041CA" w:rsidRDefault="006041CA">
      <w:pPr>
        <w:spacing w:after="120" w:line="360" w:lineRule="auto"/>
        <w:jc w:val="both"/>
      </w:pPr>
    </w:p>
    <w:p w14:paraId="443CDF41" w14:textId="77777777" w:rsidR="006041CA" w:rsidRDefault="006041CA">
      <w:pPr>
        <w:spacing w:after="120" w:line="360" w:lineRule="auto"/>
        <w:jc w:val="both"/>
      </w:pPr>
    </w:p>
    <w:p w14:paraId="6E4D9B59" w14:textId="77777777" w:rsidR="006041CA" w:rsidRDefault="006041CA">
      <w:pPr>
        <w:spacing w:after="120" w:line="360" w:lineRule="auto"/>
        <w:jc w:val="both"/>
      </w:pPr>
    </w:p>
    <w:p w14:paraId="324DA443" w14:textId="77777777" w:rsidR="006041CA" w:rsidRDefault="001271CC">
      <w:pPr>
        <w:spacing w:after="120" w:line="360" w:lineRule="auto"/>
        <w:rPr>
          <w:b/>
          <w:color w:val="000000"/>
        </w:rPr>
      </w:pPr>
      <w:r>
        <w:br w:type="page"/>
      </w:r>
    </w:p>
    <w:p w14:paraId="67A36CCA" w14:textId="77777777" w:rsidR="006041CA" w:rsidRDefault="001271CC">
      <w:pPr>
        <w:keepNext/>
        <w:keepLines/>
        <w:pBdr>
          <w:top w:val="nil"/>
          <w:left w:val="nil"/>
          <w:bottom w:val="nil"/>
          <w:right w:val="nil"/>
          <w:between w:val="nil"/>
        </w:pBdr>
        <w:spacing w:after="120" w:line="360" w:lineRule="auto"/>
        <w:rPr>
          <w:color w:val="2E75B5"/>
          <w:sz w:val="32"/>
          <w:szCs w:val="32"/>
        </w:rPr>
      </w:pPr>
      <w:r>
        <w:rPr>
          <w:b/>
          <w:color w:val="660033"/>
          <w:sz w:val="32"/>
          <w:szCs w:val="32"/>
        </w:rPr>
        <w:t>Contenido</w:t>
      </w:r>
    </w:p>
    <w:sdt>
      <w:sdtPr>
        <w:id w:val="-1263448796"/>
        <w:docPartObj>
          <w:docPartGallery w:val="Table of Contents"/>
          <w:docPartUnique/>
        </w:docPartObj>
      </w:sdtPr>
      <w:sdtEndPr/>
      <w:sdtContent>
        <w:p w14:paraId="0391620B" w14:textId="77777777" w:rsidR="006041CA" w:rsidRDefault="001271CC">
          <w:pPr>
            <w:pBdr>
              <w:top w:val="nil"/>
              <w:left w:val="nil"/>
              <w:bottom w:val="nil"/>
              <w:right w:val="nil"/>
              <w:between w:val="nil"/>
            </w:pBdr>
            <w:tabs>
              <w:tab w:val="right" w:pos="9962"/>
            </w:tabs>
            <w:spacing w:after="120" w:line="360" w:lineRule="auto"/>
            <w:rPr>
              <w:color w:val="000000"/>
            </w:rPr>
          </w:pPr>
          <w:r>
            <w:fldChar w:fldCharType="begin"/>
          </w:r>
          <w:r>
            <w:instrText xml:space="preserve"> TOC \h \u \z \t "Heading 1,1,Heading 2,2,Heading 3,3,"</w:instrText>
          </w:r>
          <w:r>
            <w:fldChar w:fldCharType="separate"/>
          </w:r>
          <w:hyperlink w:anchor="_heading=h.gjdgxs">
            <w:r>
              <w:rPr>
                <w:b/>
                <w:color w:val="000000"/>
              </w:rPr>
              <w:t>Tema I. Resultados</w:t>
            </w:r>
          </w:hyperlink>
          <w:hyperlink w:anchor="_heading=h.gjdgxs">
            <w:r>
              <w:rPr>
                <w:color w:val="000000"/>
              </w:rPr>
              <w:tab/>
              <w:t>17</w:t>
            </w:r>
          </w:hyperlink>
        </w:p>
        <w:p w14:paraId="7B6AFF9B" w14:textId="77777777" w:rsidR="006041CA" w:rsidRDefault="00B551B3">
          <w:pPr>
            <w:pBdr>
              <w:top w:val="nil"/>
              <w:left w:val="nil"/>
              <w:bottom w:val="nil"/>
              <w:right w:val="nil"/>
              <w:between w:val="nil"/>
            </w:pBdr>
            <w:tabs>
              <w:tab w:val="right" w:pos="9962"/>
            </w:tabs>
            <w:spacing w:after="120" w:line="360" w:lineRule="auto"/>
            <w:rPr>
              <w:color w:val="000000"/>
            </w:rPr>
          </w:pPr>
          <w:hyperlink w:anchor="_heading=h.30j0zll">
            <w:r w:rsidR="001271CC">
              <w:rPr>
                <w:b/>
                <w:color w:val="000000"/>
              </w:rPr>
              <w:t>Tema II. Productos</w:t>
            </w:r>
          </w:hyperlink>
          <w:hyperlink w:anchor="_heading=h.30j0zll">
            <w:r w:rsidR="001271CC">
              <w:rPr>
                <w:color w:val="000000"/>
              </w:rPr>
              <w:tab/>
              <w:t>34</w:t>
            </w:r>
          </w:hyperlink>
        </w:p>
        <w:p w14:paraId="52DCE5AD" w14:textId="77777777" w:rsidR="006041CA" w:rsidRDefault="00B551B3">
          <w:pPr>
            <w:pBdr>
              <w:top w:val="nil"/>
              <w:left w:val="nil"/>
              <w:bottom w:val="nil"/>
              <w:right w:val="nil"/>
              <w:between w:val="nil"/>
            </w:pBdr>
            <w:tabs>
              <w:tab w:val="right" w:pos="9962"/>
            </w:tabs>
            <w:spacing w:after="120" w:line="360" w:lineRule="auto"/>
            <w:rPr>
              <w:color w:val="000000"/>
            </w:rPr>
          </w:pPr>
          <w:hyperlink w:anchor="_heading=h.1fob9te">
            <w:r w:rsidR="001271CC">
              <w:rPr>
                <w:b/>
                <w:color w:val="000000"/>
              </w:rPr>
              <w:t>Tema III. Presupuesto</w:t>
            </w:r>
          </w:hyperlink>
          <w:hyperlink w:anchor="_heading=h.1fob9te">
            <w:r w:rsidR="001271CC">
              <w:rPr>
                <w:color w:val="000000"/>
              </w:rPr>
              <w:tab/>
              <w:t>42</w:t>
            </w:r>
          </w:hyperlink>
        </w:p>
        <w:p w14:paraId="7F640E29" w14:textId="77777777" w:rsidR="006041CA" w:rsidRDefault="00B551B3">
          <w:pPr>
            <w:pBdr>
              <w:top w:val="nil"/>
              <w:left w:val="nil"/>
              <w:bottom w:val="nil"/>
              <w:right w:val="nil"/>
              <w:between w:val="nil"/>
            </w:pBdr>
            <w:tabs>
              <w:tab w:val="right" w:pos="9962"/>
            </w:tabs>
            <w:spacing w:after="120" w:line="360" w:lineRule="auto"/>
            <w:rPr>
              <w:color w:val="000000"/>
            </w:rPr>
          </w:pPr>
          <w:hyperlink w:anchor="_heading=h.3znysh7">
            <w:r w:rsidR="001271CC">
              <w:rPr>
                <w:b/>
                <w:color w:val="000000"/>
              </w:rPr>
              <w:t>Tema IV. Cobertura</w:t>
            </w:r>
          </w:hyperlink>
          <w:hyperlink w:anchor="_heading=h.3znysh7">
            <w:r w:rsidR="001271CC">
              <w:rPr>
                <w:color w:val="000000"/>
              </w:rPr>
              <w:tab/>
              <w:t>47</w:t>
            </w:r>
          </w:hyperlink>
        </w:p>
        <w:p w14:paraId="3C8045D0" w14:textId="77777777" w:rsidR="006041CA" w:rsidRDefault="00B551B3">
          <w:pPr>
            <w:pBdr>
              <w:top w:val="nil"/>
              <w:left w:val="nil"/>
              <w:bottom w:val="nil"/>
              <w:right w:val="nil"/>
              <w:between w:val="nil"/>
            </w:pBdr>
            <w:tabs>
              <w:tab w:val="right" w:pos="9962"/>
            </w:tabs>
            <w:spacing w:after="120" w:line="360" w:lineRule="auto"/>
            <w:rPr>
              <w:color w:val="000000"/>
            </w:rPr>
          </w:pPr>
          <w:hyperlink w:anchor="_heading=h.2et92p0">
            <w:r w:rsidR="001271CC">
              <w:rPr>
                <w:b/>
                <w:color w:val="000000"/>
              </w:rPr>
              <w:t>Tema V. Seguimiento a los Aspectos Susceptibles de Mejora</w:t>
            </w:r>
          </w:hyperlink>
          <w:hyperlink w:anchor="_heading=h.2et92p0">
            <w:r w:rsidR="001271CC">
              <w:rPr>
                <w:color w:val="000000"/>
              </w:rPr>
              <w:tab/>
              <w:t>55</w:t>
            </w:r>
          </w:hyperlink>
        </w:p>
        <w:p w14:paraId="20030D6A" w14:textId="77777777" w:rsidR="006041CA" w:rsidRDefault="00B551B3">
          <w:pPr>
            <w:pBdr>
              <w:top w:val="nil"/>
              <w:left w:val="nil"/>
              <w:bottom w:val="nil"/>
              <w:right w:val="nil"/>
              <w:between w:val="nil"/>
            </w:pBdr>
            <w:tabs>
              <w:tab w:val="right" w:pos="9962"/>
            </w:tabs>
            <w:spacing w:after="120" w:line="360" w:lineRule="auto"/>
            <w:rPr>
              <w:color w:val="000000"/>
            </w:rPr>
          </w:pPr>
          <w:hyperlink w:anchor="_heading=h.tyjcwt">
            <w:r w:rsidR="001271CC">
              <w:rPr>
                <w:b/>
                <w:color w:val="000000"/>
              </w:rPr>
              <w:t>Tema VI. Conclusiones</w:t>
            </w:r>
          </w:hyperlink>
          <w:hyperlink w:anchor="_heading=h.tyjcwt">
            <w:r w:rsidR="001271CC">
              <w:rPr>
                <w:color w:val="000000"/>
              </w:rPr>
              <w:tab/>
              <w:t>60</w:t>
            </w:r>
          </w:hyperlink>
        </w:p>
        <w:p w14:paraId="30264E9C" w14:textId="77777777" w:rsidR="006041CA" w:rsidRDefault="00B551B3">
          <w:pPr>
            <w:pBdr>
              <w:top w:val="nil"/>
              <w:left w:val="nil"/>
              <w:bottom w:val="nil"/>
              <w:right w:val="nil"/>
              <w:between w:val="nil"/>
            </w:pBdr>
            <w:tabs>
              <w:tab w:val="right" w:pos="9962"/>
            </w:tabs>
            <w:spacing w:after="120" w:line="360" w:lineRule="auto"/>
            <w:rPr>
              <w:color w:val="000000"/>
            </w:rPr>
          </w:pPr>
          <w:hyperlink w:anchor="_heading=h.3dy6vkm">
            <w:r w:rsidR="001271CC">
              <w:rPr>
                <w:b/>
                <w:color w:val="000000"/>
              </w:rPr>
              <w:t>Anexo 1. Fortalezas, oportunidades, Debilidades y Amenazas</w:t>
            </w:r>
          </w:hyperlink>
          <w:hyperlink w:anchor="_heading=h.3dy6vkm">
            <w:r w:rsidR="001271CC">
              <w:rPr>
                <w:color w:val="000000"/>
              </w:rPr>
              <w:tab/>
              <w:t>64</w:t>
            </w:r>
          </w:hyperlink>
        </w:p>
        <w:p w14:paraId="48A28BDD" w14:textId="77777777" w:rsidR="006041CA" w:rsidRDefault="00B551B3">
          <w:pPr>
            <w:pBdr>
              <w:top w:val="nil"/>
              <w:left w:val="nil"/>
              <w:bottom w:val="nil"/>
              <w:right w:val="nil"/>
              <w:between w:val="nil"/>
            </w:pBdr>
            <w:tabs>
              <w:tab w:val="right" w:pos="9962"/>
            </w:tabs>
            <w:spacing w:after="120" w:line="360" w:lineRule="auto"/>
            <w:rPr>
              <w:color w:val="000000"/>
            </w:rPr>
          </w:pPr>
          <w:hyperlink w:anchor="_heading=h.1t3h5sf">
            <w:r w:rsidR="001271CC">
              <w:rPr>
                <w:b/>
                <w:color w:val="000000"/>
              </w:rPr>
              <w:t>Anexo 2. Matriz FODA</w:t>
            </w:r>
          </w:hyperlink>
          <w:hyperlink w:anchor="_heading=h.1t3h5sf">
            <w:r w:rsidR="001271CC">
              <w:rPr>
                <w:color w:val="000000"/>
              </w:rPr>
              <w:tab/>
              <w:t>68</w:t>
            </w:r>
          </w:hyperlink>
        </w:p>
        <w:p w14:paraId="1EDC8B48" w14:textId="77777777" w:rsidR="006041CA" w:rsidRDefault="00B551B3">
          <w:pPr>
            <w:pBdr>
              <w:top w:val="nil"/>
              <w:left w:val="nil"/>
              <w:bottom w:val="nil"/>
              <w:right w:val="nil"/>
              <w:between w:val="nil"/>
            </w:pBdr>
            <w:tabs>
              <w:tab w:val="right" w:pos="9962"/>
            </w:tabs>
            <w:spacing w:after="120" w:line="360" w:lineRule="auto"/>
            <w:rPr>
              <w:color w:val="000000"/>
            </w:rPr>
          </w:pPr>
          <w:hyperlink w:anchor="_heading=h.4d34og8">
            <w:r w:rsidR="001271CC">
              <w:rPr>
                <w:b/>
                <w:color w:val="000000"/>
              </w:rPr>
              <w:t>Anexo 3. Recomendaciones</w:t>
            </w:r>
          </w:hyperlink>
          <w:hyperlink w:anchor="_heading=h.4d34og8">
            <w:r w:rsidR="001271CC">
              <w:rPr>
                <w:color w:val="000000"/>
              </w:rPr>
              <w:tab/>
              <w:t>74</w:t>
            </w:r>
          </w:hyperlink>
        </w:p>
        <w:p w14:paraId="0DD81583" w14:textId="77777777" w:rsidR="006041CA" w:rsidRDefault="00B551B3">
          <w:pPr>
            <w:pBdr>
              <w:top w:val="nil"/>
              <w:left w:val="nil"/>
              <w:bottom w:val="nil"/>
              <w:right w:val="nil"/>
              <w:between w:val="nil"/>
            </w:pBdr>
            <w:tabs>
              <w:tab w:val="right" w:pos="9962"/>
            </w:tabs>
            <w:spacing w:after="120" w:line="360" w:lineRule="auto"/>
            <w:rPr>
              <w:color w:val="000000"/>
            </w:rPr>
          </w:pPr>
          <w:hyperlink w:anchor="_heading=h.2s8eyo1">
            <w:r w:rsidR="001271CC">
              <w:rPr>
                <w:b/>
                <w:color w:val="000000"/>
              </w:rPr>
              <w:t>Anexo 4. Hallazgos</w:t>
            </w:r>
          </w:hyperlink>
          <w:hyperlink w:anchor="_heading=h.2s8eyo1">
            <w:r w:rsidR="001271CC">
              <w:rPr>
                <w:color w:val="000000"/>
              </w:rPr>
              <w:tab/>
              <w:t>76</w:t>
            </w:r>
          </w:hyperlink>
        </w:p>
        <w:p w14:paraId="35BDF997" w14:textId="77777777" w:rsidR="006041CA" w:rsidRDefault="00B551B3">
          <w:pPr>
            <w:pBdr>
              <w:top w:val="nil"/>
              <w:left w:val="nil"/>
              <w:bottom w:val="nil"/>
              <w:right w:val="nil"/>
              <w:between w:val="nil"/>
            </w:pBdr>
            <w:tabs>
              <w:tab w:val="right" w:pos="9962"/>
            </w:tabs>
            <w:spacing w:after="120" w:line="360" w:lineRule="auto"/>
            <w:rPr>
              <w:color w:val="000000"/>
            </w:rPr>
          </w:pPr>
          <w:hyperlink w:anchor="_heading=h.17dp8vu">
            <w:r w:rsidR="001271CC">
              <w:rPr>
                <w:b/>
                <w:color w:val="000000"/>
              </w:rPr>
              <w:t>Anexo 5. Formatos</w:t>
            </w:r>
          </w:hyperlink>
          <w:hyperlink w:anchor="_heading=h.17dp8vu">
            <w:r w:rsidR="001271CC">
              <w:rPr>
                <w:color w:val="000000"/>
              </w:rPr>
              <w:tab/>
              <w:t>80</w:t>
            </w:r>
          </w:hyperlink>
        </w:p>
        <w:p w14:paraId="541CD5C5" w14:textId="77777777" w:rsidR="006041CA" w:rsidRDefault="00B551B3">
          <w:pPr>
            <w:pBdr>
              <w:top w:val="nil"/>
              <w:left w:val="nil"/>
              <w:bottom w:val="nil"/>
              <w:right w:val="nil"/>
              <w:between w:val="nil"/>
            </w:pBdr>
            <w:tabs>
              <w:tab w:val="right" w:pos="9962"/>
            </w:tabs>
            <w:spacing w:after="120" w:line="360" w:lineRule="auto"/>
            <w:rPr>
              <w:color w:val="000000"/>
            </w:rPr>
          </w:pPr>
          <w:hyperlink w:anchor="_heading=h.3rdcrjn">
            <w:r w:rsidR="001271CC">
              <w:rPr>
                <w:b/>
                <w:color w:val="000000"/>
              </w:rPr>
              <w:t>Anexo 6. Fuentes de Información</w:t>
            </w:r>
          </w:hyperlink>
          <w:hyperlink w:anchor="_heading=h.3rdcrjn">
            <w:r w:rsidR="001271CC">
              <w:rPr>
                <w:color w:val="000000"/>
              </w:rPr>
              <w:tab/>
              <w:t>82</w:t>
            </w:r>
          </w:hyperlink>
        </w:p>
        <w:p w14:paraId="7141BE14" w14:textId="77777777" w:rsidR="006041CA" w:rsidRDefault="00B551B3">
          <w:pPr>
            <w:pBdr>
              <w:top w:val="nil"/>
              <w:left w:val="nil"/>
              <w:bottom w:val="nil"/>
              <w:right w:val="nil"/>
              <w:between w:val="nil"/>
            </w:pBdr>
            <w:tabs>
              <w:tab w:val="right" w:pos="9962"/>
            </w:tabs>
            <w:spacing w:after="120" w:line="360" w:lineRule="auto"/>
            <w:rPr>
              <w:color w:val="000000"/>
            </w:rPr>
          </w:pPr>
          <w:hyperlink w:anchor="_heading=h.26in1rg">
            <w:r w:rsidR="001271CC">
              <w:rPr>
                <w:b/>
                <w:color w:val="000000"/>
              </w:rPr>
              <w:t>Anexo 7. Formato para la Difusión de los Resultados de las Evaluaciones (CONAC)</w:t>
            </w:r>
          </w:hyperlink>
          <w:hyperlink w:anchor="_heading=h.26in1rg">
            <w:r w:rsidR="001271CC">
              <w:rPr>
                <w:color w:val="000000"/>
              </w:rPr>
              <w:tab/>
              <w:t>85</w:t>
            </w:r>
          </w:hyperlink>
        </w:p>
        <w:p w14:paraId="02260B77" w14:textId="77777777" w:rsidR="006041CA" w:rsidRDefault="001271CC">
          <w:pPr>
            <w:spacing w:after="120" w:line="360" w:lineRule="auto"/>
          </w:pPr>
          <w:r>
            <w:fldChar w:fldCharType="end"/>
          </w:r>
        </w:p>
      </w:sdtContent>
    </w:sdt>
    <w:p w14:paraId="08929400" w14:textId="77777777" w:rsidR="006041CA" w:rsidRDefault="001271CC">
      <w:pPr>
        <w:spacing w:after="120" w:line="360" w:lineRule="auto"/>
        <w:rPr>
          <w:b/>
          <w:color w:val="000000"/>
          <w:sz w:val="24"/>
          <w:szCs w:val="24"/>
        </w:rPr>
      </w:pPr>
      <w:r>
        <w:br w:type="page"/>
      </w:r>
    </w:p>
    <w:p w14:paraId="7A446737" w14:textId="77777777" w:rsidR="006041CA" w:rsidRDefault="001271CC">
      <w:pPr>
        <w:spacing w:after="120" w:line="360" w:lineRule="auto"/>
        <w:rPr>
          <w:b/>
          <w:color w:val="000000"/>
          <w:sz w:val="24"/>
          <w:szCs w:val="24"/>
        </w:rPr>
      </w:pPr>
      <w:r>
        <w:rPr>
          <w:b/>
          <w:color w:val="000000"/>
          <w:sz w:val="24"/>
          <w:szCs w:val="24"/>
        </w:rPr>
        <w:t>Introducción</w:t>
      </w:r>
    </w:p>
    <w:p w14:paraId="2D38A80D" w14:textId="77777777" w:rsidR="006041CA" w:rsidRDefault="001271CC">
      <w:pPr>
        <w:spacing w:after="120" w:line="360" w:lineRule="auto"/>
        <w:jc w:val="both"/>
      </w:pPr>
      <w:r>
        <w:t>En cumplimiento con el artículo 134 de la CPEUM; el artículo 129, cuarto párrafo de la Constitución Política del Estado Libre y Soberano de Michoacán de Ocampo; los artículos 85 y 110 de la Ley Federal de Presupuesto y Responsabilidad Hacendaria; el artículo 49 fracción V de la Ley de Coordinación Fiscal; los artículos 54, 71 y 79 de la Ley General de Contabilidad Gubernamental; los artículos 3, 4, 5 y 7 del Programa Anual de Evaluación 2024 emitido por la Coordinación de Planeación para el Desarrollo del Estado de Michoacán de Ocampo; así como del Convenio Específico de Apoyo y Colaboración Institucional firmado entre el INDETEC y la CPLADEM; se realizó la Evaluación Específica del Desempeño del Programa presupuestario Educación Básica financiado con recursos del Fondo de Aportaciones para la Nómina Educativa y Gasto Operativo del Ramo 33, ejercicio fiscal 2023.</w:t>
      </w:r>
    </w:p>
    <w:p w14:paraId="7193C7D2" w14:textId="77777777" w:rsidR="006041CA" w:rsidRDefault="001271CC">
      <w:pPr>
        <w:spacing w:after="120" w:line="360" w:lineRule="auto"/>
        <w:jc w:val="both"/>
      </w:pPr>
      <w:r>
        <w:t>El alcance de esta evaluación es, por un lado, coadyuvar con la estrategia para la consolidación del enfoque de gestión para resultados en el Estado de Michoacán de Ocampo, en respuesta para atender la iniciativa del Presupuesto con Base en Resultados y el Sistema de Evaluación del Desempeño promovida por la SHCP, mediante la cual se “persigue la creación de una administración eficiente y eficaz, esto es, una administración capaz de satisfacer las necesidades reales de los ciudadanos al menor costo posible, favoreciendo para ello la introducción de mecanismos de competencia y sistemas de control. Los primeros permiten a los usuarios elegir y promueven el desarrollo de servicios de mayor calidad; en tanto que los sistemas de control permiten una plena transparencia de los procesos, los planes y los resultados”; y por el otro, valorar los planes y procesos que dan cuenta sobre la capacidad institucional para transformar insumos en resultados orientados al cumplimiento de objetivos estratégicos y metas institucionales; valorar los Programas a través de los cuales se da respuesta a la problemática social y/o económica que enfrenta la población mediante indicadores estratégicos y de gestión; estimar la eficiencia en el uso de los recursos y la cobertura en la provisión de los servicios estatales; e identificar las acciones de mejora implementadas.</w:t>
      </w:r>
    </w:p>
    <w:p w14:paraId="4D65BFF8" w14:textId="77777777" w:rsidR="006041CA" w:rsidRDefault="001271CC">
      <w:pPr>
        <w:spacing w:after="120" w:line="360" w:lineRule="auto"/>
        <w:jc w:val="both"/>
      </w:pPr>
      <w:r>
        <w:t>El documento, en apego con los Términos de Referencia, responde de manera justificada y con base en el análisis de información recibida como evidencia a las preguntas metodológicas planteadas; incluye un apartado de conclusiones y hallazgos por tema evaluativo; así como el respectivo análisis de FODA y las recomendaciones derivadas del mismo ubicados en los anexos 1 y 2 respectivamente.</w:t>
      </w:r>
    </w:p>
    <w:p w14:paraId="53827086" w14:textId="77777777" w:rsidR="006041CA" w:rsidRDefault="006041CA">
      <w:pPr>
        <w:spacing w:after="120" w:line="360" w:lineRule="auto"/>
        <w:jc w:val="both"/>
      </w:pPr>
    </w:p>
    <w:p w14:paraId="4E239FF1" w14:textId="77777777" w:rsidR="006041CA" w:rsidRDefault="001271CC">
      <w:pPr>
        <w:spacing w:after="120" w:line="360" w:lineRule="auto"/>
        <w:jc w:val="both"/>
      </w:pPr>
      <w:r>
        <w:t>Los formatos, tablas y gráficas derivadas del análisis que soportan la respuesta a las preguntas metodológicas en donde fueron requeridos, se ubican en el Anexo 7.</w:t>
      </w:r>
    </w:p>
    <w:p w14:paraId="47BBC388" w14:textId="77777777" w:rsidR="006041CA" w:rsidRDefault="006041CA">
      <w:pPr>
        <w:spacing w:after="120" w:line="360" w:lineRule="auto"/>
        <w:jc w:val="both"/>
        <w:rPr>
          <w:b/>
        </w:rPr>
      </w:pPr>
    </w:p>
    <w:p w14:paraId="0949103A" w14:textId="77777777" w:rsidR="006041CA" w:rsidRDefault="001271CC">
      <w:pPr>
        <w:spacing w:after="120" w:line="360" w:lineRule="auto"/>
        <w:jc w:val="both"/>
        <w:rPr>
          <w:b/>
        </w:rPr>
      </w:pPr>
      <w:r>
        <w:rPr>
          <w:b/>
        </w:rPr>
        <w:t>Objetivo General:</w:t>
      </w:r>
    </w:p>
    <w:p w14:paraId="5300300D" w14:textId="77777777" w:rsidR="006041CA" w:rsidRDefault="001271CC">
      <w:pPr>
        <w:spacing w:after="120" w:line="360" w:lineRule="auto"/>
        <w:jc w:val="both"/>
      </w:pPr>
      <w:r>
        <w:t>Evaluar el desempeño y los resultados de la aplicación de los recursos de los Programas determinados en el Programa Anual de Evaluación 2024, con base en indicadores estratégicos y de gestión, con el fin mejorar la gestión y consecución de resultados de manera eficaz y eficiente, la rendición de cuentas y la transparencia.</w:t>
      </w:r>
    </w:p>
    <w:p w14:paraId="4940384A" w14:textId="77777777" w:rsidR="006041CA" w:rsidRDefault="006041CA">
      <w:pPr>
        <w:spacing w:after="120" w:line="360" w:lineRule="auto"/>
        <w:jc w:val="both"/>
        <w:rPr>
          <w:b/>
        </w:rPr>
      </w:pPr>
    </w:p>
    <w:p w14:paraId="3FBC595B" w14:textId="77777777" w:rsidR="006041CA" w:rsidRDefault="001271CC">
      <w:pPr>
        <w:spacing w:after="120" w:line="360" w:lineRule="auto"/>
        <w:jc w:val="both"/>
        <w:rPr>
          <w:b/>
        </w:rPr>
      </w:pPr>
      <w:r>
        <w:rPr>
          <w:b/>
        </w:rPr>
        <w:t>Objetivos específicos:</w:t>
      </w:r>
    </w:p>
    <w:p w14:paraId="37BCD62B" w14:textId="77777777" w:rsidR="006041CA" w:rsidRDefault="001271CC">
      <w:pPr>
        <w:numPr>
          <w:ilvl w:val="0"/>
          <w:numId w:val="1"/>
        </w:numPr>
        <w:pBdr>
          <w:top w:val="nil"/>
          <w:left w:val="nil"/>
          <w:bottom w:val="nil"/>
          <w:right w:val="nil"/>
          <w:between w:val="nil"/>
        </w:pBdr>
        <w:spacing w:after="120" w:line="360" w:lineRule="auto"/>
        <w:jc w:val="both"/>
        <w:rPr>
          <w:color w:val="000000"/>
        </w:rPr>
      </w:pPr>
      <w:r>
        <w:rPr>
          <w:color w:val="000000"/>
        </w:rPr>
        <w:t>Verificar el avance en la atención del problema o necesidad para la que fue creado el Programa sujeto de evaluación.</w:t>
      </w:r>
    </w:p>
    <w:p w14:paraId="62710EDA" w14:textId="77777777" w:rsidR="006041CA" w:rsidRDefault="001271CC">
      <w:pPr>
        <w:numPr>
          <w:ilvl w:val="0"/>
          <w:numId w:val="1"/>
        </w:numPr>
        <w:pBdr>
          <w:top w:val="nil"/>
          <w:left w:val="nil"/>
          <w:bottom w:val="nil"/>
          <w:right w:val="nil"/>
          <w:between w:val="nil"/>
        </w:pBdr>
        <w:spacing w:after="120" w:line="360" w:lineRule="auto"/>
        <w:jc w:val="both"/>
        <w:rPr>
          <w:color w:val="000000"/>
        </w:rPr>
      </w:pPr>
      <w:r>
        <w:rPr>
          <w:color w:val="000000"/>
        </w:rPr>
        <w:t>Verificar los resultados obtenidos y la alineación de los objetivos del Programa sujeto de evaluación hacia los objetivos de desarrollo estatal y nacional.</w:t>
      </w:r>
    </w:p>
    <w:p w14:paraId="2653BC3B" w14:textId="77777777" w:rsidR="006041CA" w:rsidRDefault="001271CC">
      <w:pPr>
        <w:numPr>
          <w:ilvl w:val="0"/>
          <w:numId w:val="1"/>
        </w:numPr>
        <w:pBdr>
          <w:top w:val="nil"/>
          <w:left w:val="nil"/>
          <w:bottom w:val="nil"/>
          <w:right w:val="nil"/>
          <w:between w:val="nil"/>
        </w:pBdr>
        <w:spacing w:after="120" w:line="360" w:lineRule="auto"/>
        <w:jc w:val="both"/>
        <w:rPr>
          <w:color w:val="000000"/>
        </w:rPr>
      </w:pPr>
      <w:r>
        <w:rPr>
          <w:color w:val="000000"/>
        </w:rPr>
        <w:t>Verificar la contribución y el destino de los recursos en la prestación de los bienes y servicios que componen al Programa.</w:t>
      </w:r>
    </w:p>
    <w:p w14:paraId="7568E0A6" w14:textId="77777777" w:rsidR="006041CA" w:rsidRDefault="001271CC">
      <w:pPr>
        <w:numPr>
          <w:ilvl w:val="0"/>
          <w:numId w:val="1"/>
        </w:numPr>
        <w:pBdr>
          <w:top w:val="nil"/>
          <w:left w:val="nil"/>
          <w:bottom w:val="nil"/>
          <w:right w:val="nil"/>
          <w:between w:val="nil"/>
        </w:pBdr>
        <w:spacing w:after="120" w:line="360" w:lineRule="auto"/>
        <w:jc w:val="both"/>
        <w:rPr>
          <w:color w:val="000000"/>
        </w:rPr>
      </w:pPr>
      <w:r>
        <w:rPr>
          <w:color w:val="000000"/>
        </w:rPr>
        <w:t>Analizar el avance de las metas de los indicadores de la Matriz de Indicadores para Resultados (MIR) en 2023, respecto de años anteriores y el avance en relación con las metas establecidas</w:t>
      </w:r>
    </w:p>
    <w:p w14:paraId="537F2981" w14:textId="77777777" w:rsidR="006041CA" w:rsidRDefault="001271CC">
      <w:pPr>
        <w:numPr>
          <w:ilvl w:val="0"/>
          <w:numId w:val="1"/>
        </w:numPr>
        <w:pBdr>
          <w:top w:val="nil"/>
          <w:left w:val="nil"/>
          <w:bottom w:val="nil"/>
          <w:right w:val="nil"/>
          <w:between w:val="nil"/>
        </w:pBdr>
        <w:spacing w:after="120" w:line="360" w:lineRule="auto"/>
        <w:jc w:val="both"/>
        <w:rPr>
          <w:color w:val="000000"/>
        </w:rPr>
      </w:pPr>
      <w:r>
        <w:rPr>
          <w:color w:val="000000"/>
        </w:rPr>
        <w:t xml:space="preserve">Valorar los cambios en los recursos ejercidos por el Programa en el ejercicio fiscal evaluado y anteriores. </w:t>
      </w:r>
    </w:p>
    <w:p w14:paraId="5068149A" w14:textId="77777777" w:rsidR="006041CA" w:rsidRDefault="001271CC">
      <w:pPr>
        <w:numPr>
          <w:ilvl w:val="0"/>
          <w:numId w:val="1"/>
        </w:numPr>
        <w:pBdr>
          <w:top w:val="nil"/>
          <w:left w:val="nil"/>
          <w:bottom w:val="nil"/>
          <w:right w:val="nil"/>
          <w:between w:val="nil"/>
        </w:pBdr>
        <w:spacing w:after="120" w:line="360" w:lineRule="auto"/>
        <w:jc w:val="both"/>
        <w:rPr>
          <w:color w:val="000000"/>
        </w:rPr>
      </w:pPr>
      <w:r>
        <w:rPr>
          <w:color w:val="000000"/>
        </w:rPr>
        <w:t>Analizar la evolución de la cobertura y su eficiencia.</w:t>
      </w:r>
    </w:p>
    <w:p w14:paraId="43EB3083" w14:textId="77777777" w:rsidR="006041CA" w:rsidRDefault="001271CC">
      <w:pPr>
        <w:numPr>
          <w:ilvl w:val="0"/>
          <w:numId w:val="1"/>
        </w:numPr>
        <w:pBdr>
          <w:top w:val="nil"/>
          <w:left w:val="nil"/>
          <w:bottom w:val="nil"/>
          <w:right w:val="nil"/>
          <w:between w:val="nil"/>
        </w:pBdr>
        <w:spacing w:after="120" w:line="360" w:lineRule="auto"/>
        <w:jc w:val="both"/>
        <w:rPr>
          <w:color w:val="000000"/>
        </w:rPr>
      </w:pPr>
      <w:r>
        <w:rPr>
          <w:color w:val="000000"/>
        </w:rPr>
        <w:t>Identificar las fortalezas, oportunidades, debilidades y amenazas para la mejora de la gestión y los resultados de la aplicación de los recursos.</w:t>
      </w:r>
    </w:p>
    <w:p w14:paraId="30B0DFE4" w14:textId="77777777" w:rsidR="006041CA" w:rsidRDefault="001271CC">
      <w:pPr>
        <w:numPr>
          <w:ilvl w:val="0"/>
          <w:numId w:val="1"/>
        </w:numPr>
        <w:pBdr>
          <w:top w:val="nil"/>
          <w:left w:val="nil"/>
          <w:bottom w:val="nil"/>
          <w:right w:val="nil"/>
          <w:between w:val="nil"/>
        </w:pBdr>
        <w:spacing w:after="120" w:line="360" w:lineRule="auto"/>
        <w:jc w:val="both"/>
        <w:rPr>
          <w:color w:val="000000"/>
        </w:rPr>
      </w:pPr>
      <w:r>
        <w:rPr>
          <w:color w:val="000000"/>
        </w:rPr>
        <w:t>Identificar las acciones de mejora implementadas y su avance de cumplimiento.</w:t>
      </w:r>
    </w:p>
    <w:p w14:paraId="0C8A008D" w14:textId="77777777" w:rsidR="006041CA" w:rsidRDefault="006041CA">
      <w:pPr>
        <w:spacing w:after="120" w:line="360" w:lineRule="auto"/>
        <w:rPr>
          <w:b/>
          <w:color w:val="000000"/>
          <w:sz w:val="24"/>
          <w:szCs w:val="24"/>
        </w:rPr>
      </w:pPr>
    </w:p>
    <w:p w14:paraId="2543E915" w14:textId="77777777" w:rsidR="006041CA" w:rsidRDefault="006041CA">
      <w:pPr>
        <w:spacing w:after="120" w:line="360" w:lineRule="auto"/>
        <w:rPr>
          <w:b/>
          <w:color w:val="000000"/>
          <w:sz w:val="24"/>
          <w:szCs w:val="24"/>
        </w:rPr>
      </w:pPr>
    </w:p>
    <w:p w14:paraId="39518586" w14:textId="77777777" w:rsidR="006041CA" w:rsidRDefault="001271CC">
      <w:pPr>
        <w:spacing w:after="120" w:line="360" w:lineRule="auto"/>
        <w:rPr>
          <w:b/>
          <w:color w:val="000000"/>
          <w:sz w:val="24"/>
          <w:szCs w:val="24"/>
        </w:rPr>
      </w:pPr>
      <w:r>
        <w:rPr>
          <w:b/>
          <w:color w:val="000000"/>
          <w:sz w:val="24"/>
          <w:szCs w:val="24"/>
        </w:rPr>
        <w:t>Metodología</w:t>
      </w:r>
    </w:p>
    <w:p w14:paraId="077C36AE" w14:textId="77777777" w:rsidR="006041CA" w:rsidRDefault="001271CC">
      <w:pPr>
        <w:spacing w:after="120" w:line="360" w:lineRule="auto"/>
        <w:jc w:val="both"/>
        <w:rPr>
          <w:color w:val="000000"/>
          <w:highlight w:val="white"/>
        </w:rPr>
      </w:pPr>
      <w:r>
        <w:rPr>
          <w:color w:val="000000"/>
          <w:highlight w:val="white"/>
        </w:rPr>
        <w:t>La metodología de la Evaluación Específica del Desempeño, está basada en los términos emitidos por el Consejo Nacional de Evaluación de la Política de Desarrollo Social (CONEVAL)</w:t>
      </w:r>
      <w:r>
        <w:rPr>
          <w:color w:val="000000"/>
          <w:highlight w:val="white"/>
          <w:vertAlign w:val="superscript"/>
        </w:rPr>
        <w:footnoteReference w:id="1"/>
      </w:r>
      <w:r>
        <w:rPr>
          <w:color w:val="000000"/>
          <w:highlight w:val="white"/>
        </w:rPr>
        <w:t>, para los temas sociales; y de la Secretaría de Hacienda y Crédito Público (SHCP)</w:t>
      </w:r>
      <w:r>
        <w:rPr>
          <w:color w:val="000000"/>
          <w:highlight w:val="white"/>
          <w:vertAlign w:val="superscript"/>
        </w:rPr>
        <w:footnoteReference w:id="2"/>
      </w:r>
      <w:r>
        <w:rPr>
          <w:color w:val="000000"/>
          <w:highlight w:val="white"/>
        </w:rPr>
        <w:t>, para los temas de fortalecimiento financiero; sin embargo, de acuerdo con las necesidades de información evaluativa que requiere el Gobierno del Estado de Michoacán, fueron adecuados algunos de los temas de análisis y sus respectivas preguntas metodológicas.</w:t>
      </w:r>
    </w:p>
    <w:p w14:paraId="434A7240" w14:textId="77777777" w:rsidR="006041CA" w:rsidRDefault="001271CC">
      <w:pPr>
        <w:spacing w:after="120" w:line="360" w:lineRule="auto"/>
        <w:jc w:val="both"/>
        <w:rPr>
          <w:color w:val="000000"/>
          <w:highlight w:val="white"/>
        </w:rPr>
      </w:pPr>
      <w:r>
        <w:rPr>
          <w:color w:val="000000"/>
          <w:highlight w:val="white"/>
        </w:rPr>
        <w:t>En ese sentido, la metodología fue diseñada para generar información útil, rigurosa y homogénea para los involucrados en la administración y ejecución de los recursos federales sujetos de evaluación, de tal forma que contribuya a mejorar la toma de decisiones a nivel estratégico y con ello, mejorar la Gestión para Resultados y la calidad del Gasto Público.</w:t>
      </w:r>
    </w:p>
    <w:p w14:paraId="1A0DCE34" w14:textId="77777777" w:rsidR="006041CA" w:rsidRDefault="001271CC">
      <w:pPr>
        <w:spacing w:after="120" w:line="360" w:lineRule="auto"/>
        <w:jc w:val="both"/>
        <w:rPr>
          <w:color w:val="000000"/>
          <w:highlight w:val="white"/>
        </w:rPr>
      </w:pPr>
      <w:r>
        <w:rPr>
          <w:color w:val="000000"/>
          <w:highlight w:val="white"/>
        </w:rPr>
        <w:t xml:space="preserve">Contiene 20 preguntas metodológicas agrupadas en cinco temas de análisis que son: Resultados; Productos; Presupuesto; Cobertura y Aspectos Susceptibles de Mejora, de acuerdo con el modelo de evaluación </w:t>
      </w:r>
      <w:r>
        <w:rPr>
          <w:highlight w:val="yellow"/>
        </w:rPr>
        <w:t>específica</w:t>
      </w:r>
      <w:r>
        <w:rPr>
          <w:color w:val="000000"/>
          <w:highlight w:val="white"/>
        </w:rPr>
        <w:t xml:space="preserve"> del desempeño de la siguiente figura:</w:t>
      </w:r>
    </w:p>
    <w:p w14:paraId="1EAC6946" w14:textId="77777777" w:rsidR="006041CA" w:rsidRDefault="001271CC">
      <w:pPr>
        <w:spacing w:after="120" w:line="360" w:lineRule="auto"/>
        <w:jc w:val="center"/>
      </w:pPr>
      <w:r>
        <w:rPr>
          <w:noProof/>
        </w:rPr>
        <w:drawing>
          <wp:inline distT="0" distB="0" distL="0" distR="0" wp14:anchorId="5A7D66AA" wp14:editId="17D86E0A">
            <wp:extent cx="5943600" cy="2217906"/>
            <wp:effectExtent l="0" t="0" r="0" b="0"/>
            <wp:docPr id="223" name="image5.png" descr="https://www.coneval.org.mx/EvaluacionDS/Metodologia/PublishingImages/Diagrama_EDD_Temas_Generales.png"/>
            <wp:cNvGraphicFramePr/>
            <a:graphic xmlns:a="http://schemas.openxmlformats.org/drawingml/2006/main">
              <a:graphicData uri="http://schemas.openxmlformats.org/drawingml/2006/picture">
                <pic:pic xmlns:pic="http://schemas.openxmlformats.org/drawingml/2006/picture">
                  <pic:nvPicPr>
                    <pic:cNvPr id="0" name="image5.png" descr="https://www.coneval.org.mx/EvaluacionDS/Metodologia/PublishingImages/Diagrama_EDD_Temas_Generales.png"/>
                    <pic:cNvPicPr preferRelativeResize="0"/>
                  </pic:nvPicPr>
                  <pic:blipFill>
                    <a:blip r:embed="rId11"/>
                    <a:srcRect/>
                    <a:stretch>
                      <a:fillRect/>
                    </a:stretch>
                  </pic:blipFill>
                  <pic:spPr>
                    <a:xfrm>
                      <a:off x="0" y="0"/>
                      <a:ext cx="5943600" cy="2217906"/>
                    </a:xfrm>
                    <a:prstGeom prst="rect">
                      <a:avLst/>
                    </a:prstGeom>
                    <a:ln/>
                  </pic:spPr>
                </pic:pic>
              </a:graphicData>
            </a:graphic>
          </wp:inline>
        </w:drawing>
      </w:r>
    </w:p>
    <w:p w14:paraId="574F67BD" w14:textId="77777777" w:rsidR="006041CA" w:rsidRDefault="001271CC">
      <w:pPr>
        <w:spacing w:after="120" w:line="360" w:lineRule="auto"/>
        <w:jc w:val="center"/>
      </w:pPr>
      <w:r>
        <w:t>Fuente: CONEVAL. Evaluación Específica de Desempeño.</w:t>
      </w:r>
    </w:p>
    <w:p w14:paraId="1C4B982D" w14:textId="77777777" w:rsidR="006041CA" w:rsidRDefault="006041CA">
      <w:pPr>
        <w:spacing w:after="120" w:line="360" w:lineRule="auto"/>
        <w:jc w:val="both"/>
        <w:rPr>
          <w:color w:val="000000"/>
          <w:highlight w:val="white"/>
        </w:rPr>
      </w:pPr>
    </w:p>
    <w:p w14:paraId="1B19BA03" w14:textId="77777777" w:rsidR="006041CA" w:rsidRDefault="001271CC">
      <w:pPr>
        <w:spacing w:after="120" w:line="360" w:lineRule="auto"/>
        <w:jc w:val="both"/>
        <w:rPr>
          <w:color w:val="000000"/>
        </w:rPr>
      </w:pPr>
      <w:r>
        <w:rPr>
          <w:color w:val="000000"/>
        </w:rPr>
        <w:t>Finalmente, el documento, en apego con los Términos de Referencia, responde de manera justificada y con base en el análisis de información recibida como evidencia a las preguntas metodologías planteadas; incluye un apartado de conclusiones y hallazgos por tema evaluativo; así como el respectivo análisis de FODA y recomendaciones derivadas del mismo ubicados en los anexos 1, 2, 3 y 4 respectivamente. Los formatos, tablas y gráficas derivadas del análisis que soportan la respuesta a las preguntas metodológicas en donde fueron requeridos, se ubican en el Anexo 5.</w:t>
      </w:r>
      <w:r>
        <w:br w:type="page"/>
      </w:r>
    </w:p>
    <w:p w14:paraId="4501B964" w14:textId="77777777" w:rsidR="006041CA" w:rsidRDefault="001271CC">
      <w:pPr>
        <w:spacing w:after="120" w:line="360" w:lineRule="auto"/>
        <w:rPr>
          <w:b/>
          <w:color w:val="660033"/>
          <w:sz w:val="32"/>
          <w:szCs w:val="32"/>
        </w:rPr>
      </w:pPr>
      <w:r>
        <w:rPr>
          <w:b/>
          <w:color w:val="660033"/>
          <w:sz w:val="32"/>
          <w:szCs w:val="32"/>
        </w:rPr>
        <w:t>Descripción del contexto</w:t>
      </w:r>
    </w:p>
    <w:p w14:paraId="6E3202EC" w14:textId="77777777" w:rsidR="006041CA" w:rsidRDefault="001271CC">
      <w:pPr>
        <w:spacing w:after="120" w:line="360" w:lineRule="auto"/>
        <w:jc w:val="both"/>
        <w:rPr>
          <w:b/>
        </w:rPr>
      </w:pPr>
      <w:r>
        <w:rPr>
          <w:b/>
        </w:rPr>
        <w:t>A. El contexto institucional del Ente Público responsable del Programa presupuestario que se evalúa:</w:t>
      </w:r>
    </w:p>
    <w:p w14:paraId="0FA71086" w14:textId="77777777" w:rsidR="006041CA" w:rsidRDefault="001271CC">
      <w:pPr>
        <w:spacing w:after="120" w:line="360" w:lineRule="auto"/>
        <w:jc w:val="both"/>
      </w:pPr>
      <w:r>
        <w:t>El Programa de Educación Básica del ejercicio fiscal 2023, es uno de los Programas presupuestarios que está a cargo de la Secretaría de Educación del Estado de Michoacán la cual es el ente público que ejecuta los recursos correspondientes al FONE, en términos de lo dispuesto en la Ley de Coordinación Fiscal, así como también de elaborar los reportes financieros correspondientes para el cumplimiento en materia de rendición de cuentas.</w:t>
      </w:r>
    </w:p>
    <w:p w14:paraId="173190AA" w14:textId="77777777" w:rsidR="006041CA" w:rsidRDefault="001271CC">
      <w:pPr>
        <w:spacing w:after="120" w:line="360" w:lineRule="auto"/>
        <w:jc w:val="both"/>
      </w:pPr>
      <w:r>
        <w:t>A continuación, se presenta el trabajo institucional de planeación estratégica para las áreas funcionales involucradas en la ejecución del Programa presupuestario:</w:t>
      </w:r>
    </w:p>
    <w:p w14:paraId="63879522" w14:textId="77777777" w:rsidR="006041CA" w:rsidRDefault="001271CC">
      <w:pPr>
        <w:numPr>
          <w:ilvl w:val="0"/>
          <w:numId w:val="14"/>
        </w:numPr>
        <w:pBdr>
          <w:top w:val="nil"/>
          <w:left w:val="nil"/>
          <w:bottom w:val="nil"/>
          <w:right w:val="nil"/>
          <w:between w:val="nil"/>
        </w:pBdr>
        <w:spacing w:after="120" w:line="360" w:lineRule="auto"/>
        <w:jc w:val="both"/>
        <w:rPr>
          <w:color w:val="000000"/>
        </w:rPr>
      </w:pPr>
      <w:r>
        <w:rPr>
          <w:color w:val="000000"/>
        </w:rPr>
        <w:t>Misión: Ofrecer en Michoacán servicios educativos de excelencia en todos sus tipos, niveles, modalidades y sostenimientos, mediante el desarrollo de políticas públicas incluyentes, pertinentes y con equidad, que potencien los procesos de enseñanza-aprendizaje e impulsen la formación crítica e integral de las y los educandos con base en los principios de humanismo, cuidado del medio ambiente, transparencia, honestidad, legalidad y eficiencia.</w:t>
      </w:r>
    </w:p>
    <w:p w14:paraId="63712F36" w14:textId="77777777" w:rsidR="006041CA" w:rsidRDefault="001271CC">
      <w:pPr>
        <w:numPr>
          <w:ilvl w:val="0"/>
          <w:numId w:val="14"/>
        </w:numPr>
        <w:pBdr>
          <w:top w:val="nil"/>
          <w:left w:val="nil"/>
          <w:bottom w:val="nil"/>
          <w:right w:val="nil"/>
          <w:between w:val="nil"/>
        </w:pBdr>
        <w:spacing w:after="120" w:line="360" w:lineRule="auto"/>
        <w:jc w:val="both"/>
        <w:rPr>
          <w:color w:val="000000"/>
        </w:rPr>
      </w:pPr>
      <w:r>
        <w:rPr>
          <w:color w:val="000000"/>
        </w:rPr>
        <w:t xml:space="preserve">Visión: Tenemos un sistema educativo estatal eficiente, congruente con los principios del Artículo 3° Constitucional adecuado con la Nueva Escuela Mexicana, apegado a normas, principios, valores y compromisos del servicio público, capaz de garantizar el derecho superior de niñas, niños y jóvenes a la educación, en una cultura de paz y el respeto a su dignidad y el logro esperado en sus aprendizajes. </w:t>
      </w:r>
    </w:p>
    <w:p w14:paraId="082D201C" w14:textId="77777777" w:rsidR="006041CA" w:rsidRDefault="001271CC">
      <w:pPr>
        <w:spacing w:after="120" w:line="360" w:lineRule="auto"/>
        <w:jc w:val="both"/>
      </w:pPr>
      <w:r>
        <w:t>Cabe mencionar que parte de la filosofía institucional descrita en los incisos anteriores fueron obtenidos del portal de internet de la Secretaría de Educación del Estado de Michoacán</w:t>
      </w:r>
      <w:r>
        <w:rPr>
          <w:vertAlign w:val="superscript"/>
        </w:rPr>
        <w:footnoteReference w:id="3"/>
      </w:r>
      <w:r>
        <w:t>, ya que no se informa sobre algún Programa Estratégico Institucional de la Secretaría de Educación, en el cual se describa lo anterior; además de los objetivos estratégicos institucionales y las estrategias que se realizarán para el cumplimiento de sus objetivos.</w:t>
      </w:r>
    </w:p>
    <w:p w14:paraId="46357E74" w14:textId="77777777" w:rsidR="006041CA" w:rsidRDefault="001271CC">
      <w:pPr>
        <w:spacing w:after="120" w:line="360" w:lineRule="auto"/>
        <w:jc w:val="both"/>
        <w:rPr>
          <w:b/>
        </w:rPr>
      </w:pPr>
      <w:r>
        <w:rPr>
          <w:b/>
        </w:rPr>
        <w:t>B. Características del Fondo de Aportaciones que se evalúa:</w:t>
      </w:r>
    </w:p>
    <w:p w14:paraId="0D410F65" w14:textId="77777777" w:rsidR="006041CA" w:rsidRDefault="001271CC">
      <w:pPr>
        <w:numPr>
          <w:ilvl w:val="0"/>
          <w:numId w:val="17"/>
        </w:numPr>
        <w:pBdr>
          <w:top w:val="nil"/>
          <w:left w:val="nil"/>
          <w:bottom w:val="nil"/>
          <w:right w:val="nil"/>
          <w:between w:val="nil"/>
        </w:pBdr>
        <w:spacing w:after="120" w:line="360" w:lineRule="auto"/>
        <w:ind w:left="709"/>
        <w:jc w:val="both"/>
        <w:rPr>
          <w:color w:val="000000"/>
        </w:rPr>
      </w:pPr>
      <w:r>
        <w:t xml:space="preserve">     </w:t>
      </w:r>
      <w:r>
        <w:rPr>
          <w:color w:val="000000"/>
        </w:rPr>
        <w:t>Objetivo.</w:t>
      </w:r>
    </w:p>
    <w:p w14:paraId="13F854B6" w14:textId="77777777" w:rsidR="006041CA" w:rsidRDefault="001271CC">
      <w:pPr>
        <w:spacing w:after="120" w:line="360" w:lineRule="auto"/>
        <w:jc w:val="both"/>
      </w:pPr>
      <w:r>
        <w:t>Conforme a lo dispuesto en el artículo 26 de la Ley de Coordinación Fiscal, con cargo a las aportaciones del FONE, se apoya a los Estados con recursos económicos complementarios para ejercer las atribuciones que, en materia de Educación Básica y Normal, de manera exclusiva se les asignan en los artículos 114 y 117 de la Ley General de Educación vigente.</w:t>
      </w:r>
    </w:p>
    <w:p w14:paraId="38D67461" w14:textId="77777777" w:rsidR="006041CA" w:rsidRDefault="001271CC">
      <w:pPr>
        <w:spacing w:after="120" w:line="360" w:lineRule="auto"/>
        <w:jc w:val="both"/>
      </w:pPr>
      <w:r>
        <w:t>Los recursos del FONE son destinados para cubrir el pago de los servicios personales correspondientes al personal que ocupa las plazas transferidas a los Estados, en el marco del Acuerdo Nacional para la Modernización de la Educación Básica, publicado en el Diario Oficial de la Federación el 19 de mayo de 1992, así como los convenios formalizados con los Estados y que se encuentran registrados en el Sistema de Información y Gestión Educativa a que se refiere el artículo 113, fracción XIII de la Ley General de Educación. Estos recursos se integran en el Programa presupuestario I013 "Servicios Personales".</w:t>
      </w:r>
      <w:r>
        <w:rPr>
          <w:vertAlign w:val="superscript"/>
        </w:rPr>
        <w:footnoteReference w:id="4"/>
      </w:r>
    </w:p>
    <w:p w14:paraId="163B71CD" w14:textId="77777777" w:rsidR="006041CA" w:rsidRDefault="001271CC">
      <w:pPr>
        <w:spacing w:after="120" w:line="360" w:lineRule="auto"/>
        <w:jc w:val="both"/>
      </w:pPr>
      <w:r>
        <w:t>En la Matriz de Indicadores para Resultados Federal del Fondo</w:t>
      </w:r>
      <w:r>
        <w:rPr>
          <w:vertAlign w:val="superscript"/>
        </w:rPr>
        <w:footnoteReference w:id="5"/>
      </w:r>
      <w:r>
        <w:t xml:space="preserve"> define como Propósito</w:t>
      </w:r>
      <w:r>
        <w:rPr>
          <w:i/>
        </w:rPr>
        <w:t xml:space="preserve"> “La población en edad de 3 a 15 años, egresa de los servicios de Educación Básica, incluyendo la indígena y especial”</w:t>
      </w:r>
      <w:r>
        <w:t xml:space="preserve"> contribuyendo de esta manera a su fin que se describe como: “</w:t>
      </w:r>
      <w:r>
        <w:rPr>
          <w:i/>
        </w:rPr>
        <w:t>Contribuir a garantizar el derecho de la población en México a una educación de excelencia, pertinente y relevante en los diferentes tipos, niveles y modalidades del Sistema Educativo Nacional.”</w:t>
      </w:r>
      <w:r>
        <w:t xml:space="preserve"> </w:t>
      </w:r>
    </w:p>
    <w:p w14:paraId="018980AC" w14:textId="77777777" w:rsidR="006041CA" w:rsidRDefault="001271CC">
      <w:pPr>
        <w:numPr>
          <w:ilvl w:val="0"/>
          <w:numId w:val="17"/>
        </w:numPr>
        <w:pBdr>
          <w:top w:val="nil"/>
          <w:left w:val="nil"/>
          <w:bottom w:val="nil"/>
          <w:right w:val="nil"/>
          <w:between w:val="nil"/>
        </w:pBdr>
        <w:spacing w:after="120" w:line="360" w:lineRule="auto"/>
        <w:ind w:left="709"/>
        <w:jc w:val="both"/>
        <w:rPr>
          <w:color w:val="000000"/>
        </w:rPr>
      </w:pPr>
      <w:r>
        <w:rPr>
          <w:color w:val="000000"/>
        </w:rPr>
        <w:t>Destino del recurso.</w:t>
      </w:r>
    </w:p>
    <w:p w14:paraId="1319E6A2" w14:textId="77777777" w:rsidR="006041CA" w:rsidRDefault="001271CC">
      <w:pPr>
        <w:spacing w:after="120" w:line="360" w:lineRule="auto"/>
        <w:jc w:val="both"/>
      </w:pPr>
      <w:r>
        <w:t xml:space="preserve">Los recursos del FONE se destinan a tres vertientes, que son: Servicios Personales, Gasto de Operación y Otros de Gasto Corriente. </w:t>
      </w:r>
    </w:p>
    <w:p w14:paraId="63B18568" w14:textId="77777777" w:rsidR="006041CA" w:rsidRDefault="001271CC">
      <w:pPr>
        <w:spacing w:after="120" w:line="360" w:lineRule="auto"/>
        <w:jc w:val="both"/>
      </w:pPr>
      <w:r>
        <w:t>La vertiente de Servicios Personales es exclusiva para el pago de los conceptos relativos a servicios personales del personal a que se refiere el artículo 26 y 26-A, incluyendo el incremento en remuneraciones que, en su caso, se acuerde en los términos del artículo 27-A</w:t>
      </w:r>
      <w:r>
        <w:rPr>
          <w:vertAlign w:val="superscript"/>
        </w:rPr>
        <w:footnoteReference w:id="6"/>
      </w:r>
      <w:r>
        <w:t>. Estos recursos se integran en el Programa presupuestario I013.</w:t>
      </w:r>
    </w:p>
    <w:p w14:paraId="2C57C0BC" w14:textId="77777777" w:rsidR="006041CA" w:rsidRDefault="001271CC">
      <w:pPr>
        <w:spacing w:after="120" w:line="360" w:lineRule="auto"/>
        <w:jc w:val="both"/>
      </w:pPr>
      <w:r>
        <w:t>Asimismo, para el FONE se prevén recursos con el Propósito de apoyar a las entidades federativas para cubrir los gastos de operación asociados al cumplimiento de las atribuciones que tienen asignadas en materia de Educación Básica y Normal, específicamente para el desarrollo de las acciones relativas a la planeación, capacitación, operación, verificación, seguimiento, promoción y difusión de la prestación de servicios de Educación Básica, incluyendo la indígena; y de formación, actualización, capacitación y superación profesional para los maestros de Educación Básica y, en su caso, al pago de contribuciones locales de las plazas conciliadas. Esto corresponde al Programa presupuestario I015.</w:t>
      </w:r>
    </w:p>
    <w:p w14:paraId="3D89B547" w14:textId="77777777" w:rsidR="006041CA" w:rsidRDefault="001271CC">
      <w:pPr>
        <w:spacing w:after="120" w:line="360" w:lineRule="auto"/>
        <w:jc w:val="both"/>
      </w:pPr>
      <w:r>
        <w:t>Por último, en el Programa presupuestario I014 "Otros de Gasto Corriente", se incluyen recursos para las plazas subsidiadas a las entidades federativas, conforme a los registros que se tienen en las Secretarías de Educación Pública, y de Hacienda y Crédito Público. Asimismo, a través del Programa presupuestario I016 "Fondo de Compensación", se otorgan recursos adicionales a las entidades federativas para compensar la diferencia entre los recursos que recibían a través del Fondo de Aportaciones para Educación Básica y Normal (FAEB) y el que fue determinado para el FONE como resultado de la conciliación llevada a cabo en 2014, los cuales se destinan exclusivamente para cumplir con las atribuciones a las que se refieren los artículos 114 y 117 de la Ley General de Educación.</w:t>
      </w:r>
    </w:p>
    <w:p w14:paraId="66FC3B7C" w14:textId="77777777" w:rsidR="006041CA" w:rsidRDefault="001271CC">
      <w:pPr>
        <w:numPr>
          <w:ilvl w:val="0"/>
          <w:numId w:val="17"/>
        </w:numPr>
        <w:pBdr>
          <w:top w:val="nil"/>
          <w:left w:val="nil"/>
          <w:bottom w:val="nil"/>
          <w:right w:val="nil"/>
          <w:between w:val="nil"/>
        </w:pBdr>
        <w:spacing w:after="120" w:line="360" w:lineRule="auto"/>
        <w:ind w:left="709"/>
        <w:jc w:val="both"/>
        <w:rPr>
          <w:color w:val="000000"/>
        </w:rPr>
      </w:pPr>
      <w:r>
        <w:rPr>
          <w:color w:val="000000"/>
        </w:rPr>
        <w:t>Normatividad aplicable.</w:t>
      </w:r>
    </w:p>
    <w:p w14:paraId="7582E3F4" w14:textId="77777777" w:rsidR="006041CA" w:rsidRDefault="001271CC">
      <w:pPr>
        <w:numPr>
          <w:ilvl w:val="0"/>
          <w:numId w:val="15"/>
        </w:numPr>
        <w:pBdr>
          <w:top w:val="nil"/>
          <w:left w:val="nil"/>
          <w:bottom w:val="nil"/>
          <w:right w:val="nil"/>
          <w:between w:val="nil"/>
        </w:pBdr>
        <w:spacing w:after="120" w:line="360" w:lineRule="auto"/>
        <w:jc w:val="both"/>
        <w:rPr>
          <w:color w:val="000000"/>
        </w:rPr>
      </w:pPr>
      <w:r>
        <w:rPr>
          <w:color w:val="000000"/>
        </w:rPr>
        <w:t>Constitución Política de los Estados Unidos Mexicanos.</w:t>
      </w:r>
    </w:p>
    <w:p w14:paraId="396FF4A9" w14:textId="77777777" w:rsidR="006041CA" w:rsidRDefault="001271CC">
      <w:pPr>
        <w:numPr>
          <w:ilvl w:val="0"/>
          <w:numId w:val="15"/>
        </w:numPr>
        <w:pBdr>
          <w:top w:val="nil"/>
          <w:left w:val="nil"/>
          <w:bottom w:val="nil"/>
          <w:right w:val="nil"/>
          <w:between w:val="nil"/>
        </w:pBdr>
        <w:spacing w:after="120" w:line="360" w:lineRule="auto"/>
        <w:jc w:val="both"/>
        <w:rPr>
          <w:color w:val="000000"/>
        </w:rPr>
      </w:pPr>
      <w:r>
        <w:rPr>
          <w:color w:val="000000"/>
        </w:rPr>
        <w:t>Ley General de Educación.</w:t>
      </w:r>
    </w:p>
    <w:p w14:paraId="1709DC53" w14:textId="77777777" w:rsidR="006041CA" w:rsidRDefault="001271CC">
      <w:pPr>
        <w:numPr>
          <w:ilvl w:val="0"/>
          <w:numId w:val="15"/>
        </w:numPr>
        <w:pBdr>
          <w:top w:val="nil"/>
          <w:left w:val="nil"/>
          <w:bottom w:val="nil"/>
          <w:right w:val="nil"/>
          <w:between w:val="nil"/>
        </w:pBdr>
        <w:spacing w:after="120" w:line="360" w:lineRule="auto"/>
        <w:jc w:val="both"/>
        <w:rPr>
          <w:color w:val="000000"/>
        </w:rPr>
      </w:pPr>
      <w:r>
        <w:rPr>
          <w:color w:val="000000"/>
        </w:rPr>
        <w:t>Ley de Coordinación Fiscal Art. 26, 26-A,27, 27-A</w:t>
      </w:r>
    </w:p>
    <w:p w14:paraId="70562953" w14:textId="77777777" w:rsidR="006041CA" w:rsidRDefault="001271CC">
      <w:pPr>
        <w:numPr>
          <w:ilvl w:val="0"/>
          <w:numId w:val="15"/>
        </w:numPr>
        <w:pBdr>
          <w:top w:val="nil"/>
          <w:left w:val="nil"/>
          <w:bottom w:val="nil"/>
          <w:right w:val="nil"/>
          <w:between w:val="nil"/>
        </w:pBdr>
        <w:spacing w:after="120" w:line="360" w:lineRule="auto"/>
        <w:jc w:val="both"/>
        <w:rPr>
          <w:color w:val="000000"/>
        </w:rPr>
      </w:pPr>
      <w:r>
        <w:rPr>
          <w:color w:val="000000"/>
        </w:rPr>
        <w:t>Estrategia Programática del Presupuesto de Egresos de la Federación 2022.</w:t>
      </w:r>
    </w:p>
    <w:p w14:paraId="347C58CD" w14:textId="77777777" w:rsidR="006041CA" w:rsidRDefault="001271CC">
      <w:pPr>
        <w:numPr>
          <w:ilvl w:val="0"/>
          <w:numId w:val="15"/>
        </w:numPr>
        <w:pBdr>
          <w:top w:val="nil"/>
          <w:left w:val="nil"/>
          <w:bottom w:val="nil"/>
          <w:right w:val="nil"/>
          <w:between w:val="nil"/>
        </w:pBdr>
        <w:spacing w:after="120" w:line="360" w:lineRule="auto"/>
        <w:jc w:val="both"/>
        <w:rPr>
          <w:color w:val="000000"/>
        </w:rPr>
      </w:pPr>
      <w:r>
        <w:rPr>
          <w:color w:val="000000"/>
        </w:rPr>
        <w:t>Lineamientos del Gasto de Operación del Fondo de Aportaciones para la Nómina Educativa y Gasto Operativo.</w:t>
      </w:r>
    </w:p>
    <w:p w14:paraId="21678FDC" w14:textId="77777777" w:rsidR="006041CA" w:rsidRDefault="001271CC">
      <w:pPr>
        <w:numPr>
          <w:ilvl w:val="0"/>
          <w:numId w:val="15"/>
        </w:numPr>
        <w:pBdr>
          <w:top w:val="nil"/>
          <w:left w:val="nil"/>
          <w:bottom w:val="nil"/>
          <w:right w:val="nil"/>
          <w:between w:val="nil"/>
        </w:pBdr>
        <w:spacing w:after="120" w:line="360" w:lineRule="auto"/>
        <w:jc w:val="both"/>
        <w:rPr>
          <w:color w:val="000000"/>
        </w:rPr>
      </w:pPr>
      <w:r>
        <w:rPr>
          <w:color w:val="000000"/>
        </w:rPr>
        <w:t>Lineamientos para la Formulación de Indicadores Educativos, Secretaría de Educación.</w:t>
      </w:r>
    </w:p>
    <w:p w14:paraId="1D06A72B" w14:textId="77777777" w:rsidR="006041CA" w:rsidRDefault="001271CC">
      <w:pPr>
        <w:numPr>
          <w:ilvl w:val="0"/>
          <w:numId w:val="15"/>
        </w:numPr>
        <w:pBdr>
          <w:top w:val="nil"/>
          <w:left w:val="nil"/>
          <w:bottom w:val="nil"/>
          <w:right w:val="nil"/>
          <w:between w:val="nil"/>
        </w:pBdr>
        <w:spacing w:after="120" w:line="360" w:lineRule="auto"/>
        <w:jc w:val="both"/>
        <w:rPr>
          <w:color w:val="000000"/>
        </w:rPr>
      </w:pPr>
      <w:r>
        <w:rPr>
          <w:color w:val="000000"/>
        </w:rPr>
        <w:t>L</w:t>
      </w:r>
      <w:r>
        <w:t>ineamientos</w:t>
      </w:r>
      <w:r>
        <w:rPr>
          <w:color w:val="000000"/>
        </w:rPr>
        <w:t xml:space="preserve"> para informar sobre los recursos federales transferidos a las entidades federativas, municipios y demarcaciones territoriales del Distrito Federal, y de operación de los recursos del Ramo General 33.</w:t>
      </w:r>
    </w:p>
    <w:p w14:paraId="2347D199" w14:textId="77777777" w:rsidR="006041CA" w:rsidRDefault="001271CC">
      <w:pPr>
        <w:numPr>
          <w:ilvl w:val="0"/>
          <w:numId w:val="17"/>
        </w:numPr>
        <w:pBdr>
          <w:top w:val="nil"/>
          <w:left w:val="nil"/>
          <w:bottom w:val="nil"/>
          <w:right w:val="nil"/>
          <w:between w:val="nil"/>
        </w:pBdr>
        <w:spacing w:after="120" w:line="360" w:lineRule="auto"/>
        <w:ind w:left="709"/>
        <w:jc w:val="both"/>
        <w:rPr>
          <w:color w:val="000000"/>
        </w:rPr>
      </w:pPr>
      <w:r>
        <w:rPr>
          <w:color w:val="000000"/>
        </w:rPr>
        <w:t>Lineamientos de ejecución.</w:t>
      </w:r>
    </w:p>
    <w:p w14:paraId="15409E2C" w14:textId="77777777" w:rsidR="006041CA" w:rsidRDefault="001271CC">
      <w:pPr>
        <w:numPr>
          <w:ilvl w:val="0"/>
          <w:numId w:val="16"/>
        </w:numPr>
        <w:pBdr>
          <w:top w:val="nil"/>
          <w:left w:val="nil"/>
          <w:bottom w:val="nil"/>
          <w:right w:val="nil"/>
          <w:between w:val="nil"/>
        </w:pBdr>
        <w:spacing w:after="120" w:line="360" w:lineRule="auto"/>
        <w:jc w:val="both"/>
        <w:rPr>
          <w:color w:val="000000"/>
        </w:rPr>
      </w:pPr>
      <w:r>
        <w:rPr>
          <w:color w:val="000000"/>
        </w:rPr>
        <w:t>Lineamientos del Gasto de Operación del Fondo de Aportaciones para la Nómina Educativa y Gasto Operativo.</w:t>
      </w:r>
    </w:p>
    <w:p w14:paraId="6B00AB50" w14:textId="77777777" w:rsidR="006041CA" w:rsidRDefault="001271CC">
      <w:pPr>
        <w:numPr>
          <w:ilvl w:val="0"/>
          <w:numId w:val="16"/>
        </w:numPr>
        <w:pBdr>
          <w:top w:val="nil"/>
          <w:left w:val="nil"/>
          <w:bottom w:val="nil"/>
          <w:right w:val="nil"/>
          <w:between w:val="nil"/>
        </w:pBdr>
        <w:spacing w:after="120" w:line="360" w:lineRule="auto"/>
        <w:jc w:val="both"/>
        <w:rPr>
          <w:color w:val="000000"/>
        </w:rPr>
      </w:pPr>
      <w:r>
        <w:rPr>
          <w:color w:val="000000"/>
        </w:rPr>
        <w:t>Lineamientos para la Formulación de Indicadores Educativos, Secretaría de Educación.</w:t>
      </w:r>
    </w:p>
    <w:p w14:paraId="13B91826" w14:textId="77777777" w:rsidR="006041CA" w:rsidRDefault="001271CC">
      <w:pPr>
        <w:numPr>
          <w:ilvl w:val="0"/>
          <w:numId w:val="16"/>
        </w:numPr>
        <w:pBdr>
          <w:top w:val="nil"/>
          <w:left w:val="nil"/>
          <w:bottom w:val="nil"/>
          <w:right w:val="nil"/>
          <w:between w:val="nil"/>
        </w:pBdr>
        <w:spacing w:after="120" w:line="360" w:lineRule="auto"/>
        <w:jc w:val="both"/>
        <w:rPr>
          <w:color w:val="000000"/>
        </w:rPr>
      </w:pPr>
      <w:r>
        <w:rPr>
          <w:color w:val="000000"/>
        </w:rPr>
        <w:t>Ley de Coordinación Fiscal Art. 26, 26-A,27, 27-A</w:t>
      </w:r>
    </w:p>
    <w:p w14:paraId="3EE0157D" w14:textId="77777777" w:rsidR="006041CA" w:rsidRDefault="001271CC">
      <w:pPr>
        <w:numPr>
          <w:ilvl w:val="0"/>
          <w:numId w:val="16"/>
        </w:numPr>
        <w:pBdr>
          <w:top w:val="nil"/>
          <w:left w:val="nil"/>
          <w:bottom w:val="nil"/>
          <w:right w:val="nil"/>
          <w:between w:val="nil"/>
        </w:pBdr>
        <w:spacing w:after="120" w:line="360" w:lineRule="auto"/>
        <w:jc w:val="both"/>
        <w:rPr>
          <w:color w:val="000000"/>
        </w:rPr>
      </w:pPr>
      <w:r>
        <w:rPr>
          <w:color w:val="000000"/>
        </w:rPr>
        <w:t>Estrategia Programática del Presupuesto de Egresos de la Federación 2022.</w:t>
      </w:r>
    </w:p>
    <w:p w14:paraId="35A53247" w14:textId="77777777" w:rsidR="006041CA" w:rsidRDefault="001271CC">
      <w:pPr>
        <w:numPr>
          <w:ilvl w:val="0"/>
          <w:numId w:val="16"/>
        </w:numPr>
        <w:pBdr>
          <w:top w:val="nil"/>
          <w:left w:val="nil"/>
          <w:bottom w:val="nil"/>
          <w:right w:val="nil"/>
          <w:between w:val="nil"/>
        </w:pBdr>
        <w:spacing w:after="120" w:line="360" w:lineRule="auto"/>
        <w:jc w:val="both"/>
        <w:rPr>
          <w:color w:val="000000"/>
        </w:rPr>
      </w:pPr>
      <w:r>
        <w:rPr>
          <w:color w:val="000000"/>
        </w:rPr>
        <w:t>L</w:t>
      </w:r>
      <w:r>
        <w:t>ineamientos</w:t>
      </w:r>
      <w:r>
        <w:rPr>
          <w:color w:val="000000"/>
        </w:rPr>
        <w:t xml:space="preserve"> para informar sobre los recursos federales transferidos a las entidades federativas, municipios y demarcaciones territoriales del Distrito Federal, y de operación de los recursos del Ramo General 33</w:t>
      </w:r>
    </w:p>
    <w:p w14:paraId="1D86ADC7" w14:textId="77777777" w:rsidR="006041CA" w:rsidRDefault="001271CC">
      <w:pPr>
        <w:numPr>
          <w:ilvl w:val="0"/>
          <w:numId w:val="17"/>
        </w:numPr>
        <w:pBdr>
          <w:top w:val="nil"/>
          <w:left w:val="nil"/>
          <w:bottom w:val="nil"/>
          <w:right w:val="nil"/>
          <w:between w:val="nil"/>
        </w:pBdr>
        <w:spacing w:after="120" w:line="360" w:lineRule="auto"/>
        <w:ind w:left="709"/>
        <w:jc w:val="both"/>
        <w:rPr>
          <w:color w:val="000000"/>
        </w:rPr>
      </w:pPr>
      <w:r>
        <w:rPr>
          <w:color w:val="000000"/>
        </w:rPr>
        <w:t>Presupuesto federal aprobado, modificado, devengado y ejercido.</w:t>
      </w:r>
    </w:p>
    <w:p w14:paraId="52C578EB" w14:textId="77777777" w:rsidR="006041CA" w:rsidRDefault="001271CC">
      <w:pPr>
        <w:spacing w:after="120" w:line="360" w:lineRule="auto"/>
        <w:jc w:val="both"/>
        <w:rPr>
          <w:color w:val="2F2F2F"/>
          <w:highlight w:val="white"/>
        </w:rPr>
      </w:pPr>
      <w:r>
        <w:t xml:space="preserve">Para el ejercicio fiscal 2023, el monto aprobado de recursos federales por parte de la </w:t>
      </w:r>
      <w:r>
        <w:rPr>
          <w:color w:val="2F2F2F"/>
          <w:highlight w:val="white"/>
        </w:rPr>
        <w:t>Cámara de Diputados del Congreso de la Unión</w:t>
      </w:r>
      <w:r>
        <w:rPr>
          <w:color w:val="2F2F2F"/>
          <w:highlight w:val="white"/>
          <w:vertAlign w:val="superscript"/>
        </w:rPr>
        <w:footnoteReference w:id="7"/>
      </w:r>
      <w:r>
        <w:rPr>
          <w:color w:val="2F2F2F"/>
          <w:highlight w:val="white"/>
        </w:rPr>
        <w:t xml:space="preserve"> para el FONE consolidado fue de $ </w:t>
      </w:r>
      <w:r>
        <w:rPr>
          <w:color w:val="2F2F2F"/>
        </w:rPr>
        <w:t>456,672,694,098</w:t>
      </w:r>
      <w:r>
        <w:rPr>
          <w:color w:val="2F2F2F"/>
          <w:highlight w:val="white"/>
        </w:rPr>
        <w:t xml:space="preserve"> (</w:t>
      </w:r>
      <w:r>
        <w:rPr>
          <w:color w:val="2F2F2F"/>
        </w:rPr>
        <w:t>Cuatrocientos cincuenta y seis mil seiscientos setenta y dos millones seiscientos noventa y cuatro mil noventa y ocho</w:t>
      </w:r>
      <w:r>
        <w:rPr>
          <w:color w:val="2F2F2F"/>
          <w:highlight w:val="white"/>
        </w:rPr>
        <w:t xml:space="preserve"> pesos 00/100 M.N.); de dichos recursos, al Estado de Michoacán de Ocampo se le destinaron $ </w:t>
      </w:r>
      <w:r>
        <w:rPr>
          <w:color w:val="2F2F2F"/>
        </w:rPr>
        <w:t>22,081,505,908</w:t>
      </w:r>
      <w:r>
        <w:rPr>
          <w:color w:val="2F2F2F"/>
          <w:highlight w:val="white"/>
        </w:rPr>
        <w:t xml:space="preserve"> (</w:t>
      </w:r>
      <w:r>
        <w:rPr>
          <w:color w:val="2F2F2F"/>
        </w:rPr>
        <w:t>Veintidós mil ochenta y un millones quinientos cinco mil novecientos ocho</w:t>
      </w:r>
      <w:r>
        <w:rPr>
          <w:color w:val="2F2F2F"/>
          <w:highlight w:val="white"/>
        </w:rPr>
        <w:t xml:space="preserve"> pesos 00/100 M.N.) de los cuales $</w:t>
      </w:r>
      <w:r>
        <w:rPr>
          <w:color w:val="2F2F2F"/>
        </w:rPr>
        <w:t xml:space="preserve"> 20,715,660,350 </w:t>
      </w:r>
      <w:r>
        <w:rPr>
          <w:color w:val="2F2F2F"/>
          <w:highlight w:val="white"/>
        </w:rPr>
        <w:t>corresponden al rubro de Servicios Personales, $</w:t>
      </w:r>
      <w:r>
        <w:rPr>
          <w:color w:val="2F2F2F"/>
        </w:rPr>
        <w:t xml:space="preserve"> 835,299,096 </w:t>
      </w:r>
      <w:r>
        <w:rPr>
          <w:color w:val="2F2F2F"/>
          <w:highlight w:val="white"/>
        </w:rPr>
        <w:t xml:space="preserve">al rubro de Gasto Corriente y </w:t>
      </w:r>
      <w:r>
        <w:rPr>
          <w:color w:val="2F2F2F"/>
          <w:highlight w:val="magenta"/>
        </w:rPr>
        <w:t xml:space="preserve">$ 530,546,462 </w:t>
      </w:r>
      <w:r>
        <w:rPr>
          <w:color w:val="2F2F2F"/>
          <w:highlight w:val="white"/>
        </w:rPr>
        <w:t xml:space="preserve">al rubro de Gasto Operativo.  </w:t>
      </w:r>
    </w:p>
    <w:p w14:paraId="7CBCB01A" w14:textId="77777777" w:rsidR="006041CA" w:rsidRDefault="001271CC">
      <w:pPr>
        <w:spacing w:after="120" w:line="360" w:lineRule="auto"/>
        <w:jc w:val="both"/>
      </w:pPr>
      <w:r>
        <w:t>Respecto lo anterior, los recursos destinados para el Estado de Michoacán sufrieron modificaciones, resultando en $22,367,617,514.67 (Veintidós mil trescientos sesenta y siete millones seiscientos diecisiete mil quinientos catorce pesos 67/10M.N.) del cual se devengaron $ 22,355,469,350.14 (Veintidós mil trescientos cincuenta y cinco millones cuatrocientos sesenta y nueve mil trescientos cincuenta pesos 14/100M.N.) y se ejercieron $ 22,345,700,817.25 (Veintidós mil trescientos cuarenta y cinco millones setecientos mil ochocientos diecisiete pesos 25/100M.N.)</w:t>
      </w:r>
      <w:r>
        <w:rPr>
          <w:vertAlign w:val="superscript"/>
        </w:rPr>
        <w:footnoteReference w:id="8"/>
      </w:r>
      <w:r>
        <w:t>.</w:t>
      </w:r>
    </w:p>
    <w:p w14:paraId="6DBCC263" w14:textId="77777777" w:rsidR="006041CA" w:rsidRDefault="001271CC">
      <w:pPr>
        <w:spacing w:after="120" w:line="360" w:lineRule="auto"/>
        <w:jc w:val="both"/>
        <w:rPr>
          <w:b/>
        </w:rPr>
      </w:pPr>
      <w:r>
        <w:rPr>
          <w:b/>
        </w:rPr>
        <w:t>C. Características del Programa Estatal financiado con recursos del Fondo que se evalúa.</w:t>
      </w:r>
    </w:p>
    <w:p w14:paraId="7D7A545C" w14:textId="77777777" w:rsidR="006041CA" w:rsidRDefault="001271CC">
      <w:pPr>
        <w:numPr>
          <w:ilvl w:val="0"/>
          <w:numId w:val="2"/>
        </w:numPr>
        <w:pBdr>
          <w:top w:val="nil"/>
          <w:left w:val="nil"/>
          <w:bottom w:val="nil"/>
          <w:right w:val="nil"/>
          <w:between w:val="nil"/>
        </w:pBdr>
        <w:spacing w:after="120" w:line="360" w:lineRule="auto"/>
        <w:jc w:val="both"/>
        <w:rPr>
          <w:color w:val="000000"/>
        </w:rPr>
      </w:pPr>
      <w:r>
        <w:rPr>
          <w:color w:val="000000"/>
        </w:rPr>
        <w:t>Objetivo.</w:t>
      </w:r>
    </w:p>
    <w:p w14:paraId="59034C20" w14:textId="77777777" w:rsidR="006041CA" w:rsidRDefault="001271CC">
      <w:pPr>
        <w:spacing w:after="120" w:line="360" w:lineRule="auto"/>
        <w:jc w:val="both"/>
      </w:pPr>
      <w:r>
        <w:t>El Programa presupuestario AE01 Educación Básica del ejercicio fiscal 2023, es uno de los Programas presupuestarios que está a cargo de la Secretaría de Educación del Estado de Michoacán, en donde se ejercen recursos financieros correspondientes al Ramo General 33 del PEF, correspondientes al Fondo de Aportaciones para la Nómina Educativa y Gasto Operativo (FONE).</w:t>
      </w:r>
    </w:p>
    <w:p w14:paraId="6E8C4775" w14:textId="77777777" w:rsidR="006041CA" w:rsidRDefault="001271CC">
      <w:pPr>
        <w:spacing w:after="120" w:line="360" w:lineRule="auto"/>
        <w:jc w:val="both"/>
      </w:pPr>
      <w:r>
        <w:t xml:space="preserve">El objetivo del Programa presupuestario, de acuerdo a lo definido en la Matriz de Indicadores para Resultados, es: </w:t>
      </w:r>
      <w:r>
        <w:rPr>
          <w:i/>
        </w:rPr>
        <w:t>“Niños y niñas de 3 a 15 años de edad están matriculados en escuelas públicas de Educación Básica en el estado”</w:t>
      </w:r>
      <w:r>
        <w:t xml:space="preserve">; el cual al cumplirse adecuadamente contribuye con el cumplimiento del Fin, que es: </w:t>
      </w:r>
      <w:r>
        <w:rPr>
          <w:i/>
        </w:rPr>
        <w:t>“Contribuir a asegurar la calidad de la educación  que reciben  los alumnos de Educación Básica en las escuelas así como procurar la formación integral de éste y de todos los grupos de la población, mediante la aplicación de modalidades de atención pedagógicas, tecnológicas y de organización pertinentes“</w:t>
      </w:r>
      <w:r>
        <w:t>, el cual es un objetivo macro que se vincula con los objetivos estratégicos del Programa Sectorial y Planes de Desarrollo Nacional y Estatal.</w:t>
      </w:r>
    </w:p>
    <w:p w14:paraId="169E398F" w14:textId="77777777" w:rsidR="006041CA" w:rsidRDefault="001271CC">
      <w:pPr>
        <w:numPr>
          <w:ilvl w:val="0"/>
          <w:numId w:val="2"/>
        </w:numPr>
        <w:pBdr>
          <w:top w:val="nil"/>
          <w:left w:val="nil"/>
          <w:bottom w:val="nil"/>
          <w:right w:val="nil"/>
          <w:between w:val="nil"/>
        </w:pBdr>
        <w:spacing w:after="120" w:line="360" w:lineRule="auto"/>
        <w:jc w:val="both"/>
        <w:rPr>
          <w:color w:val="000000"/>
        </w:rPr>
      </w:pPr>
      <w:r>
        <w:rPr>
          <w:color w:val="000000"/>
        </w:rPr>
        <w:t>Tipología de los servicios.</w:t>
      </w:r>
    </w:p>
    <w:p w14:paraId="4F12E5B6" w14:textId="77777777" w:rsidR="006041CA" w:rsidRDefault="001271CC">
      <w:pPr>
        <w:spacing w:after="120" w:line="360" w:lineRule="auto"/>
        <w:jc w:val="both"/>
      </w:pPr>
      <w:r>
        <w:t>El Programa se compone por diez bienes y servicios (Componentes) que se generan y entregan a la población beneficiaria, y que son:</w:t>
      </w:r>
    </w:p>
    <w:p w14:paraId="23034AE4" w14:textId="77777777" w:rsidR="006041CA" w:rsidRDefault="001271CC">
      <w:pPr>
        <w:numPr>
          <w:ilvl w:val="0"/>
          <w:numId w:val="3"/>
        </w:numPr>
        <w:pBdr>
          <w:top w:val="nil"/>
          <w:left w:val="nil"/>
          <w:bottom w:val="nil"/>
          <w:right w:val="nil"/>
          <w:between w:val="nil"/>
        </w:pBdr>
        <w:spacing w:after="120" w:line="360" w:lineRule="auto"/>
        <w:jc w:val="both"/>
        <w:rPr>
          <w:color w:val="000000"/>
        </w:rPr>
      </w:pPr>
      <w:r>
        <w:rPr>
          <w:color w:val="000000"/>
        </w:rPr>
        <w:t>Servicios educativos de calidad en Educación Básica proporcionados.</w:t>
      </w:r>
    </w:p>
    <w:p w14:paraId="505CC327" w14:textId="77777777" w:rsidR="006041CA" w:rsidRDefault="001271CC">
      <w:pPr>
        <w:numPr>
          <w:ilvl w:val="0"/>
          <w:numId w:val="3"/>
        </w:numPr>
        <w:pBdr>
          <w:top w:val="nil"/>
          <w:left w:val="nil"/>
          <w:bottom w:val="nil"/>
          <w:right w:val="nil"/>
          <w:between w:val="nil"/>
        </w:pBdr>
        <w:spacing w:after="120" w:line="360" w:lineRule="auto"/>
        <w:jc w:val="both"/>
        <w:rPr>
          <w:color w:val="000000"/>
        </w:rPr>
      </w:pPr>
      <w:r>
        <w:rPr>
          <w:color w:val="000000"/>
        </w:rPr>
        <w:t>Apoyos técnico pedagógicos del nivel de Educación Básica otorgados.</w:t>
      </w:r>
    </w:p>
    <w:p w14:paraId="11B77D19" w14:textId="77777777" w:rsidR="006041CA" w:rsidRDefault="001271CC">
      <w:pPr>
        <w:numPr>
          <w:ilvl w:val="0"/>
          <w:numId w:val="3"/>
        </w:numPr>
        <w:pBdr>
          <w:top w:val="nil"/>
          <w:left w:val="nil"/>
          <w:bottom w:val="nil"/>
          <w:right w:val="nil"/>
          <w:between w:val="nil"/>
        </w:pBdr>
        <w:spacing w:after="120" w:line="360" w:lineRule="auto"/>
        <w:jc w:val="both"/>
        <w:rPr>
          <w:color w:val="000000"/>
        </w:rPr>
      </w:pPr>
      <w:r>
        <w:rPr>
          <w:color w:val="000000"/>
        </w:rPr>
        <w:t>Docentes de Educación Básica fortalecidos.</w:t>
      </w:r>
    </w:p>
    <w:p w14:paraId="4746D7F6" w14:textId="77777777" w:rsidR="006041CA" w:rsidRDefault="001271CC">
      <w:pPr>
        <w:numPr>
          <w:ilvl w:val="0"/>
          <w:numId w:val="3"/>
        </w:numPr>
        <w:pBdr>
          <w:top w:val="nil"/>
          <w:left w:val="nil"/>
          <w:bottom w:val="nil"/>
          <w:right w:val="nil"/>
          <w:between w:val="nil"/>
        </w:pBdr>
        <w:spacing w:after="120" w:line="360" w:lineRule="auto"/>
        <w:jc w:val="both"/>
        <w:rPr>
          <w:color w:val="000000"/>
        </w:rPr>
      </w:pPr>
      <w:r>
        <w:rPr>
          <w:color w:val="000000"/>
        </w:rPr>
        <w:t>Grupos de participación social del sector educativo integrados.</w:t>
      </w:r>
    </w:p>
    <w:p w14:paraId="03D7D4D5" w14:textId="77777777" w:rsidR="006041CA" w:rsidRDefault="001271CC">
      <w:pPr>
        <w:numPr>
          <w:ilvl w:val="0"/>
          <w:numId w:val="3"/>
        </w:numPr>
        <w:pBdr>
          <w:top w:val="nil"/>
          <w:left w:val="nil"/>
          <w:bottom w:val="nil"/>
          <w:right w:val="nil"/>
          <w:between w:val="nil"/>
        </w:pBdr>
        <w:spacing w:after="120" w:line="360" w:lineRule="auto"/>
        <w:jc w:val="both"/>
        <w:rPr>
          <w:color w:val="000000"/>
        </w:rPr>
      </w:pPr>
      <w:r>
        <w:rPr>
          <w:color w:val="000000"/>
        </w:rPr>
        <w:t>Mantenimiento en escuelas de Educación Básica realizado.</w:t>
      </w:r>
    </w:p>
    <w:p w14:paraId="0A0CA867" w14:textId="77777777" w:rsidR="006041CA" w:rsidRDefault="001271CC">
      <w:pPr>
        <w:numPr>
          <w:ilvl w:val="0"/>
          <w:numId w:val="3"/>
        </w:numPr>
        <w:pBdr>
          <w:top w:val="nil"/>
          <w:left w:val="nil"/>
          <w:bottom w:val="nil"/>
          <w:right w:val="nil"/>
          <w:between w:val="nil"/>
        </w:pBdr>
        <w:spacing w:after="120" w:line="360" w:lineRule="auto"/>
        <w:jc w:val="both"/>
        <w:rPr>
          <w:color w:val="000000"/>
        </w:rPr>
      </w:pPr>
      <w:r>
        <w:rPr>
          <w:color w:val="000000"/>
        </w:rPr>
        <w:t>Servicios de Educación Básica difundidos.</w:t>
      </w:r>
    </w:p>
    <w:p w14:paraId="22A533AA" w14:textId="77777777" w:rsidR="006041CA" w:rsidRDefault="001271CC">
      <w:pPr>
        <w:numPr>
          <w:ilvl w:val="0"/>
          <w:numId w:val="3"/>
        </w:numPr>
        <w:pBdr>
          <w:top w:val="nil"/>
          <w:left w:val="nil"/>
          <w:bottom w:val="nil"/>
          <w:right w:val="nil"/>
          <w:between w:val="nil"/>
        </w:pBdr>
        <w:spacing w:after="120" w:line="360" w:lineRule="auto"/>
        <w:jc w:val="both"/>
        <w:rPr>
          <w:color w:val="000000"/>
        </w:rPr>
      </w:pPr>
      <w:r>
        <w:rPr>
          <w:color w:val="000000"/>
        </w:rPr>
        <w:t>Procesos de planeación educativa de la Secretaría de Educación realizados.</w:t>
      </w:r>
    </w:p>
    <w:p w14:paraId="36BBB5BC" w14:textId="77777777" w:rsidR="006041CA" w:rsidRDefault="001271CC">
      <w:pPr>
        <w:numPr>
          <w:ilvl w:val="0"/>
          <w:numId w:val="3"/>
        </w:numPr>
        <w:pBdr>
          <w:top w:val="nil"/>
          <w:left w:val="nil"/>
          <w:bottom w:val="nil"/>
          <w:right w:val="nil"/>
          <w:between w:val="nil"/>
        </w:pBdr>
        <w:spacing w:after="120" w:line="360" w:lineRule="auto"/>
        <w:jc w:val="both"/>
        <w:rPr>
          <w:color w:val="000000"/>
        </w:rPr>
      </w:pPr>
      <w:r>
        <w:rPr>
          <w:color w:val="000000"/>
        </w:rPr>
        <w:t>Alumnos de educación primaria de excelencia académica incentivados.</w:t>
      </w:r>
    </w:p>
    <w:p w14:paraId="5A37B0E2" w14:textId="77777777" w:rsidR="006041CA" w:rsidRDefault="001271CC">
      <w:pPr>
        <w:numPr>
          <w:ilvl w:val="0"/>
          <w:numId w:val="2"/>
        </w:numPr>
        <w:pBdr>
          <w:top w:val="nil"/>
          <w:left w:val="nil"/>
          <w:bottom w:val="nil"/>
          <w:right w:val="nil"/>
          <w:between w:val="nil"/>
        </w:pBdr>
        <w:spacing w:after="120" w:line="360" w:lineRule="auto"/>
        <w:jc w:val="both"/>
        <w:rPr>
          <w:color w:val="000000"/>
        </w:rPr>
      </w:pPr>
      <w:r>
        <w:rPr>
          <w:color w:val="000000"/>
        </w:rPr>
        <w:t>Definición de los beneficiarios y cuantificación de la población o área de enfoque, según corresponda, potencial, objetivo y atendida.</w:t>
      </w:r>
    </w:p>
    <w:p w14:paraId="2589A1CC" w14:textId="77777777" w:rsidR="006041CA" w:rsidRDefault="001271CC">
      <w:pPr>
        <w:spacing w:after="120" w:line="360" w:lineRule="auto"/>
        <w:jc w:val="both"/>
      </w:pPr>
      <w:r>
        <w:t>La población objetivo del Programa, de acuerdo a lo descrito en la MIR del mismo, se refiere a "Niños y niñas de 3 a 15 años de edad del Estado de Michoacán”; mientras que la población atendida se refiere a los niños y niñas de 3 a 15 años de edad del Estado de Michoacán matriculados en escuelas públicas, quedando de la siguiente manera:</w:t>
      </w:r>
    </w:p>
    <w:tbl>
      <w:tblPr>
        <w:tblStyle w:val="a"/>
        <w:tblW w:w="5231" w:type="dxa"/>
        <w:jc w:val="center"/>
        <w:tblInd w:w="0" w:type="dxa"/>
        <w:tblLayout w:type="fixed"/>
        <w:tblLook w:val="0400" w:firstRow="0" w:lastRow="0" w:firstColumn="0" w:lastColumn="0" w:noHBand="0" w:noVBand="1"/>
      </w:tblPr>
      <w:tblGrid>
        <w:gridCol w:w="1631"/>
        <w:gridCol w:w="1200"/>
        <w:gridCol w:w="1200"/>
        <w:gridCol w:w="1200"/>
      </w:tblGrid>
      <w:tr w:rsidR="006041CA" w14:paraId="5B2DFCCA" w14:textId="77777777">
        <w:trPr>
          <w:trHeight w:val="480"/>
          <w:jc w:val="center"/>
        </w:trPr>
        <w:tc>
          <w:tcPr>
            <w:tcW w:w="1631" w:type="dxa"/>
            <w:tcBorders>
              <w:top w:val="single" w:sz="4" w:space="0" w:color="FFFFFF"/>
              <w:left w:val="single" w:sz="4" w:space="0" w:color="FFFFFF"/>
              <w:bottom w:val="single" w:sz="4" w:space="0" w:color="FFFFFF"/>
              <w:right w:val="single" w:sz="4" w:space="0" w:color="FFFFFF"/>
            </w:tcBorders>
            <w:shd w:val="clear" w:color="auto" w:fill="660033"/>
            <w:vAlign w:val="center"/>
          </w:tcPr>
          <w:p w14:paraId="2C10E4D4" w14:textId="77777777" w:rsidR="006041CA" w:rsidRDefault="001271CC">
            <w:pPr>
              <w:spacing w:after="120" w:line="360" w:lineRule="auto"/>
              <w:jc w:val="center"/>
              <w:rPr>
                <w:color w:val="FFFFFF"/>
              </w:rPr>
            </w:pPr>
            <w:r>
              <w:rPr>
                <w:color w:val="FFFFFF"/>
              </w:rPr>
              <w:t>Ejercicio Fiscal</w:t>
            </w:r>
          </w:p>
        </w:tc>
        <w:tc>
          <w:tcPr>
            <w:tcW w:w="1200" w:type="dxa"/>
            <w:tcBorders>
              <w:top w:val="single" w:sz="4" w:space="0" w:color="FFFFFF"/>
              <w:left w:val="single" w:sz="4" w:space="0" w:color="FFFFFF"/>
              <w:bottom w:val="single" w:sz="4" w:space="0" w:color="FFFFFF"/>
              <w:right w:val="single" w:sz="4" w:space="0" w:color="FFFFFF"/>
            </w:tcBorders>
            <w:shd w:val="clear" w:color="auto" w:fill="660033"/>
            <w:vAlign w:val="center"/>
          </w:tcPr>
          <w:p w14:paraId="1F276B10" w14:textId="77777777" w:rsidR="006041CA" w:rsidRDefault="001271CC">
            <w:pPr>
              <w:spacing w:after="120" w:line="360" w:lineRule="auto"/>
              <w:jc w:val="center"/>
              <w:rPr>
                <w:color w:val="FFFFFF"/>
              </w:rPr>
            </w:pPr>
            <w:r>
              <w:rPr>
                <w:color w:val="FFFFFF"/>
              </w:rPr>
              <w:t>P. Potencial</w:t>
            </w:r>
          </w:p>
        </w:tc>
        <w:tc>
          <w:tcPr>
            <w:tcW w:w="1200" w:type="dxa"/>
            <w:tcBorders>
              <w:top w:val="single" w:sz="4" w:space="0" w:color="FFFFFF"/>
              <w:left w:val="single" w:sz="4" w:space="0" w:color="FFFFFF"/>
              <w:bottom w:val="single" w:sz="4" w:space="0" w:color="FFFFFF"/>
              <w:right w:val="single" w:sz="4" w:space="0" w:color="FFFFFF"/>
            </w:tcBorders>
            <w:shd w:val="clear" w:color="auto" w:fill="660033"/>
            <w:vAlign w:val="center"/>
          </w:tcPr>
          <w:p w14:paraId="46431AAE" w14:textId="77777777" w:rsidR="006041CA" w:rsidRDefault="001271CC">
            <w:pPr>
              <w:spacing w:after="120" w:line="360" w:lineRule="auto"/>
              <w:jc w:val="center"/>
              <w:rPr>
                <w:color w:val="FFFFFF"/>
              </w:rPr>
            </w:pPr>
            <w:r>
              <w:rPr>
                <w:color w:val="FFFFFF"/>
              </w:rPr>
              <w:t>P. Objetivo</w:t>
            </w:r>
          </w:p>
        </w:tc>
        <w:tc>
          <w:tcPr>
            <w:tcW w:w="1200" w:type="dxa"/>
            <w:tcBorders>
              <w:top w:val="single" w:sz="4" w:space="0" w:color="FFFFFF"/>
              <w:left w:val="single" w:sz="4" w:space="0" w:color="FFFFFF"/>
              <w:bottom w:val="single" w:sz="4" w:space="0" w:color="FFFFFF"/>
              <w:right w:val="single" w:sz="4" w:space="0" w:color="FFFFFF"/>
            </w:tcBorders>
            <w:shd w:val="clear" w:color="auto" w:fill="660033"/>
            <w:vAlign w:val="center"/>
          </w:tcPr>
          <w:p w14:paraId="17636532" w14:textId="77777777" w:rsidR="006041CA" w:rsidRDefault="001271CC">
            <w:pPr>
              <w:spacing w:after="120" w:line="360" w:lineRule="auto"/>
              <w:jc w:val="center"/>
              <w:rPr>
                <w:color w:val="FFFFFF"/>
              </w:rPr>
            </w:pPr>
            <w:r>
              <w:rPr>
                <w:color w:val="FFFFFF"/>
              </w:rPr>
              <w:t>P. Atendida</w:t>
            </w:r>
          </w:p>
        </w:tc>
      </w:tr>
      <w:tr w:rsidR="006041CA" w14:paraId="5C2B4D20" w14:textId="77777777">
        <w:trPr>
          <w:trHeight w:val="300"/>
          <w:jc w:val="center"/>
        </w:trPr>
        <w:tc>
          <w:tcPr>
            <w:tcW w:w="1631" w:type="dxa"/>
            <w:tcBorders>
              <w:top w:val="single" w:sz="4" w:space="0" w:color="FFFFFF"/>
              <w:left w:val="single" w:sz="4" w:space="0" w:color="000000"/>
              <w:bottom w:val="single" w:sz="4" w:space="0" w:color="000000"/>
              <w:right w:val="single" w:sz="4" w:space="0" w:color="000000"/>
            </w:tcBorders>
            <w:shd w:val="clear" w:color="auto" w:fill="660033"/>
            <w:vAlign w:val="center"/>
          </w:tcPr>
          <w:p w14:paraId="0E47B21E" w14:textId="77777777" w:rsidR="006041CA" w:rsidRDefault="001271CC">
            <w:pPr>
              <w:spacing w:after="120" w:line="360" w:lineRule="auto"/>
              <w:jc w:val="center"/>
              <w:rPr>
                <w:color w:val="FFFFFF"/>
              </w:rPr>
            </w:pPr>
            <w:r>
              <w:rPr>
                <w:color w:val="FFFFFF"/>
              </w:rPr>
              <w:t>2023</w:t>
            </w:r>
          </w:p>
        </w:tc>
        <w:tc>
          <w:tcPr>
            <w:tcW w:w="1200" w:type="dxa"/>
            <w:tcBorders>
              <w:top w:val="single" w:sz="4" w:space="0" w:color="FFFFFF"/>
              <w:left w:val="nil"/>
              <w:bottom w:val="single" w:sz="4" w:space="0" w:color="000000"/>
              <w:right w:val="single" w:sz="4" w:space="0" w:color="000000"/>
            </w:tcBorders>
            <w:shd w:val="clear" w:color="auto" w:fill="auto"/>
            <w:vAlign w:val="center"/>
          </w:tcPr>
          <w:p w14:paraId="6F88EF7A" w14:textId="77777777" w:rsidR="006041CA" w:rsidRDefault="001271CC">
            <w:pPr>
              <w:spacing w:after="120" w:line="360" w:lineRule="auto"/>
              <w:jc w:val="center"/>
              <w:rPr>
                <w:color w:val="000000"/>
              </w:rPr>
            </w:pPr>
            <w:r>
              <w:t>1,167,496</w:t>
            </w:r>
          </w:p>
        </w:tc>
        <w:tc>
          <w:tcPr>
            <w:tcW w:w="1200" w:type="dxa"/>
            <w:tcBorders>
              <w:top w:val="single" w:sz="4" w:space="0" w:color="FFFFFF"/>
              <w:left w:val="nil"/>
              <w:bottom w:val="single" w:sz="4" w:space="0" w:color="000000"/>
              <w:right w:val="single" w:sz="4" w:space="0" w:color="000000"/>
            </w:tcBorders>
            <w:shd w:val="clear" w:color="auto" w:fill="auto"/>
            <w:vAlign w:val="center"/>
          </w:tcPr>
          <w:p w14:paraId="73581F91" w14:textId="77777777" w:rsidR="006041CA" w:rsidRDefault="001271CC">
            <w:pPr>
              <w:spacing w:after="120" w:line="360" w:lineRule="auto"/>
              <w:jc w:val="center"/>
              <w:rPr>
                <w:color w:val="000000"/>
              </w:rPr>
            </w:pPr>
            <w:r>
              <w:rPr>
                <w:color w:val="000000"/>
              </w:rPr>
              <w:t>728,848</w:t>
            </w:r>
          </w:p>
        </w:tc>
        <w:tc>
          <w:tcPr>
            <w:tcW w:w="1200" w:type="dxa"/>
            <w:tcBorders>
              <w:top w:val="single" w:sz="4" w:space="0" w:color="FFFFFF"/>
              <w:left w:val="nil"/>
              <w:bottom w:val="single" w:sz="4" w:space="0" w:color="000000"/>
              <w:right w:val="single" w:sz="4" w:space="0" w:color="000000"/>
            </w:tcBorders>
            <w:shd w:val="clear" w:color="auto" w:fill="auto"/>
            <w:vAlign w:val="center"/>
          </w:tcPr>
          <w:p w14:paraId="16BFEE72" w14:textId="77777777" w:rsidR="006041CA" w:rsidRDefault="001271CC">
            <w:pPr>
              <w:spacing w:after="120" w:line="360" w:lineRule="auto"/>
              <w:jc w:val="center"/>
              <w:rPr>
                <w:color w:val="000000"/>
              </w:rPr>
            </w:pPr>
            <w:r>
              <w:rPr>
                <w:color w:val="000000"/>
              </w:rPr>
              <w:t>728,848</w:t>
            </w:r>
          </w:p>
        </w:tc>
      </w:tr>
    </w:tbl>
    <w:p w14:paraId="043AA9EF" w14:textId="77777777" w:rsidR="006041CA" w:rsidRDefault="006041CA">
      <w:pPr>
        <w:spacing w:after="120" w:line="360" w:lineRule="auto"/>
        <w:jc w:val="both"/>
      </w:pPr>
    </w:p>
    <w:p w14:paraId="5995D91D" w14:textId="77777777" w:rsidR="006041CA" w:rsidRDefault="001271CC">
      <w:pPr>
        <w:spacing w:after="120" w:line="360" w:lineRule="auto"/>
        <w:jc w:val="both"/>
      </w:pPr>
      <w:r>
        <w:t>Cabe mencionar que para identificar la población atendida en el ejercicio fiscal 2023, se toma el calendario 2022-2023.</w:t>
      </w:r>
    </w:p>
    <w:p w14:paraId="64B71C94" w14:textId="77777777" w:rsidR="006041CA" w:rsidRDefault="001271CC">
      <w:pPr>
        <w:numPr>
          <w:ilvl w:val="0"/>
          <w:numId w:val="2"/>
        </w:numPr>
        <w:pBdr>
          <w:top w:val="nil"/>
          <w:left w:val="nil"/>
          <w:bottom w:val="nil"/>
          <w:right w:val="nil"/>
          <w:between w:val="nil"/>
        </w:pBdr>
        <w:spacing w:after="120" w:line="360" w:lineRule="auto"/>
        <w:jc w:val="both"/>
        <w:rPr>
          <w:color w:val="000000"/>
        </w:rPr>
      </w:pPr>
      <w:r>
        <w:rPr>
          <w:color w:val="000000"/>
        </w:rPr>
        <w:t>Normatividad estatal aplicable.</w:t>
      </w:r>
    </w:p>
    <w:p w14:paraId="5FD03AF2" w14:textId="77777777" w:rsidR="006041CA" w:rsidRDefault="001271CC">
      <w:pPr>
        <w:numPr>
          <w:ilvl w:val="0"/>
          <w:numId w:val="4"/>
        </w:numPr>
        <w:pBdr>
          <w:top w:val="nil"/>
          <w:left w:val="nil"/>
          <w:bottom w:val="nil"/>
          <w:right w:val="nil"/>
          <w:between w:val="nil"/>
        </w:pBdr>
        <w:spacing w:after="120" w:line="360" w:lineRule="auto"/>
        <w:jc w:val="both"/>
        <w:rPr>
          <w:color w:val="000000"/>
        </w:rPr>
      </w:pPr>
      <w:r>
        <w:rPr>
          <w:color w:val="000000"/>
        </w:rPr>
        <w:t>Ley de Educación para el Estado de Michoacán de Ocampo.</w:t>
      </w:r>
    </w:p>
    <w:p w14:paraId="5272464E" w14:textId="77777777" w:rsidR="006041CA" w:rsidRDefault="001271CC">
      <w:pPr>
        <w:numPr>
          <w:ilvl w:val="0"/>
          <w:numId w:val="4"/>
        </w:numPr>
        <w:pBdr>
          <w:top w:val="nil"/>
          <w:left w:val="nil"/>
          <w:bottom w:val="nil"/>
          <w:right w:val="nil"/>
          <w:between w:val="nil"/>
        </w:pBdr>
        <w:spacing w:after="120" w:line="360" w:lineRule="auto"/>
        <w:jc w:val="both"/>
        <w:rPr>
          <w:color w:val="000000"/>
        </w:rPr>
      </w:pPr>
      <w:r>
        <w:rPr>
          <w:color w:val="000000"/>
        </w:rPr>
        <w:t>Manual de Normas y Lineamientos para el Ejercicio y Control del Presupuesto de Egresos del Gobierno del Estado de Michoacán.</w:t>
      </w:r>
    </w:p>
    <w:p w14:paraId="050009DD" w14:textId="77777777" w:rsidR="006041CA" w:rsidRDefault="001271CC">
      <w:pPr>
        <w:numPr>
          <w:ilvl w:val="0"/>
          <w:numId w:val="4"/>
        </w:numPr>
        <w:pBdr>
          <w:top w:val="nil"/>
          <w:left w:val="nil"/>
          <w:bottom w:val="nil"/>
          <w:right w:val="nil"/>
          <w:between w:val="nil"/>
        </w:pBdr>
        <w:spacing w:after="120" w:line="360" w:lineRule="auto"/>
        <w:jc w:val="both"/>
        <w:rPr>
          <w:color w:val="000000"/>
        </w:rPr>
      </w:pPr>
      <w:r>
        <w:rPr>
          <w:color w:val="000000"/>
        </w:rPr>
        <w:t>Reglamento Interno de la Secretaría de Educación.</w:t>
      </w:r>
    </w:p>
    <w:p w14:paraId="6D87097F" w14:textId="77777777" w:rsidR="006041CA" w:rsidRDefault="001271CC">
      <w:pPr>
        <w:numPr>
          <w:ilvl w:val="0"/>
          <w:numId w:val="2"/>
        </w:numPr>
        <w:pBdr>
          <w:top w:val="nil"/>
          <w:left w:val="nil"/>
          <w:bottom w:val="nil"/>
          <w:right w:val="nil"/>
          <w:between w:val="nil"/>
        </w:pBdr>
        <w:spacing w:after="120" w:line="360" w:lineRule="auto"/>
        <w:jc w:val="both"/>
        <w:rPr>
          <w:color w:val="000000"/>
        </w:rPr>
      </w:pPr>
      <w:r>
        <w:rPr>
          <w:color w:val="000000"/>
        </w:rPr>
        <w:t>Lineamientos estatales de ejecución.</w:t>
      </w:r>
    </w:p>
    <w:p w14:paraId="70843F66" w14:textId="77777777" w:rsidR="006041CA" w:rsidRDefault="001271CC">
      <w:pPr>
        <w:numPr>
          <w:ilvl w:val="0"/>
          <w:numId w:val="5"/>
        </w:numPr>
        <w:pBdr>
          <w:top w:val="nil"/>
          <w:left w:val="nil"/>
          <w:bottom w:val="nil"/>
          <w:right w:val="nil"/>
          <w:between w:val="nil"/>
        </w:pBdr>
        <w:spacing w:after="120" w:line="360" w:lineRule="auto"/>
        <w:jc w:val="both"/>
        <w:rPr>
          <w:color w:val="000000"/>
        </w:rPr>
      </w:pPr>
      <w:r>
        <w:rPr>
          <w:color w:val="000000"/>
        </w:rPr>
        <w:t>Ley de Planeación Hacendaria, Presupuesto, Gasto Público y Contabilidad Gubernamental del Estado de Michoacán</w:t>
      </w:r>
    </w:p>
    <w:p w14:paraId="1C812C69" w14:textId="77777777" w:rsidR="006041CA" w:rsidRDefault="001271CC">
      <w:pPr>
        <w:numPr>
          <w:ilvl w:val="0"/>
          <w:numId w:val="5"/>
        </w:numPr>
        <w:pBdr>
          <w:top w:val="nil"/>
          <w:left w:val="nil"/>
          <w:bottom w:val="nil"/>
          <w:right w:val="nil"/>
          <w:between w:val="nil"/>
        </w:pBdr>
        <w:spacing w:after="120" w:line="360" w:lineRule="auto"/>
        <w:jc w:val="both"/>
        <w:rPr>
          <w:color w:val="000000"/>
        </w:rPr>
      </w:pPr>
      <w:r>
        <w:rPr>
          <w:color w:val="000000"/>
        </w:rPr>
        <w:t>Ley de Transparencia, Acceso a la Información Pública y Protección de Datos Personales del Estado de Michoacán de Ocampo.</w:t>
      </w:r>
    </w:p>
    <w:p w14:paraId="22917178" w14:textId="77777777" w:rsidR="006041CA" w:rsidRDefault="001271CC">
      <w:pPr>
        <w:numPr>
          <w:ilvl w:val="0"/>
          <w:numId w:val="5"/>
        </w:numPr>
        <w:pBdr>
          <w:top w:val="nil"/>
          <w:left w:val="nil"/>
          <w:bottom w:val="nil"/>
          <w:right w:val="nil"/>
          <w:between w:val="nil"/>
        </w:pBdr>
        <w:spacing w:after="120" w:line="360" w:lineRule="auto"/>
        <w:jc w:val="both"/>
        <w:rPr>
          <w:color w:val="000000"/>
        </w:rPr>
      </w:pPr>
      <w:r>
        <w:rPr>
          <w:color w:val="000000"/>
        </w:rPr>
        <w:t>Manual de Organización de la Secretaría de Educación.</w:t>
      </w:r>
    </w:p>
    <w:p w14:paraId="40BABA59" w14:textId="77777777" w:rsidR="006041CA" w:rsidRDefault="001271CC">
      <w:pPr>
        <w:numPr>
          <w:ilvl w:val="0"/>
          <w:numId w:val="5"/>
        </w:numPr>
        <w:pBdr>
          <w:top w:val="nil"/>
          <w:left w:val="nil"/>
          <w:bottom w:val="nil"/>
          <w:right w:val="nil"/>
          <w:between w:val="nil"/>
        </w:pBdr>
        <w:spacing w:after="120" w:line="360" w:lineRule="auto"/>
        <w:jc w:val="both"/>
        <w:rPr>
          <w:color w:val="000000"/>
        </w:rPr>
      </w:pPr>
      <w:r>
        <w:rPr>
          <w:color w:val="000000"/>
        </w:rPr>
        <w:t>Manual de Procedimientos de la Secretaría de Educación.</w:t>
      </w:r>
    </w:p>
    <w:p w14:paraId="568BB32F" w14:textId="77777777" w:rsidR="006041CA" w:rsidRDefault="006041CA">
      <w:pPr>
        <w:spacing w:after="120" w:line="360" w:lineRule="auto"/>
        <w:jc w:val="both"/>
      </w:pPr>
    </w:p>
    <w:p w14:paraId="4865FD85" w14:textId="77777777" w:rsidR="006041CA" w:rsidRDefault="006041CA">
      <w:pPr>
        <w:spacing w:after="120" w:line="360" w:lineRule="auto"/>
        <w:jc w:val="both"/>
      </w:pPr>
    </w:p>
    <w:p w14:paraId="0BBBC34B" w14:textId="77777777" w:rsidR="006041CA" w:rsidRDefault="001271CC">
      <w:pPr>
        <w:spacing w:after="120" w:line="360" w:lineRule="auto"/>
        <w:rPr>
          <w:highlight w:val="yellow"/>
        </w:rPr>
      </w:pPr>
      <w:r>
        <w:br w:type="page"/>
      </w:r>
    </w:p>
    <w:p w14:paraId="3D3FBDE8" w14:textId="77777777" w:rsidR="006041CA" w:rsidRDefault="001271CC">
      <w:pPr>
        <w:spacing w:after="120" w:line="360" w:lineRule="auto"/>
        <w:rPr>
          <w:highlight w:val="yellow"/>
        </w:rPr>
      </w:pPr>
      <w:r>
        <w:rPr>
          <w:highlight w:val="yellow"/>
        </w:rPr>
        <w:t xml:space="preserve"> </w:t>
      </w:r>
    </w:p>
    <w:p w14:paraId="516546D2" w14:textId="77777777" w:rsidR="006041CA" w:rsidRDefault="006041CA">
      <w:pPr>
        <w:spacing w:after="120" w:line="360" w:lineRule="auto"/>
        <w:rPr>
          <w:b/>
          <w:sz w:val="72"/>
          <w:szCs w:val="72"/>
          <w:highlight w:val="yellow"/>
        </w:rPr>
      </w:pPr>
    </w:p>
    <w:p w14:paraId="355AC274" w14:textId="77777777" w:rsidR="006041CA" w:rsidRDefault="006041CA">
      <w:pPr>
        <w:pStyle w:val="Ttulo1"/>
        <w:spacing w:before="0" w:after="120" w:line="360" w:lineRule="auto"/>
        <w:rPr>
          <w:rFonts w:ascii="Calibri" w:eastAsia="Calibri" w:hAnsi="Calibri" w:cs="Calibri"/>
          <w:b/>
          <w:color w:val="000000"/>
          <w:sz w:val="52"/>
          <w:szCs w:val="52"/>
        </w:rPr>
      </w:pPr>
    </w:p>
    <w:p w14:paraId="75E29FA6" w14:textId="77777777" w:rsidR="006041CA" w:rsidRDefault="006041CA">
      <w:pPr>
        <w:pStyle w:val="Ttulo1"/>
        <w:spacing w:before="0" w:after="120" w:line="360" w:lineRule="auto"/>
        <w:rPr>
          <w:rFonts w:ascii="Calibri" w:eastAsia="Calibri" w:hAnsi="Calibri" w:cs="Calibri"/>
          <w:b/>
          <w:color w:val="000000"/>
          <w:sz w:val="52"/>
          <w:szCs w:val="52"/>
        </w:rPr>
      </w:pPr>
    </w:p>
    <w:p w14:paraId="12139666" w14:textId="77777777" w:rsidR="006041CA" w:rsidRDefault="006041CA">
      <w:pPr>
        <w:spacing w:after="120" w:line="360" w:lineRule="auto"/>
      </w:pPr>
    </w:p>
    <w:p w14:paraId="147D7A89" w14:textId="77777777" w:rsidR="006041CA" w:rsidRDefault="006041CA">
      <w:pPr>
        <w:spacing w:after="120" w:line="360" w:lineRule="auto"/>
      </w:pPr>
    </w:p>
    <w:p w14:paraId="2CD28514" w14:textId="77777777" w:rsidR="006041CA" w:rsidRDefault="006041CA">
      <w:pPr>
        <w:spacing w:after="120" w:line="360" w:lineRule="auto"/>
      </w:pPr>
    </w:p>
    <w:p w14:paraId="234829A8" w14:textId="77777777" w:rsidR="006041CA" w:rsidRDefault="006041CA">
      <w:pPr>
        <w:spacing w:after="120" w:line="360" w:lineRule="auto"/>
      </w:pPr>
    </w:p>
    <w:p w14:paraId="2272E042" w14:textId="77777777" w:rsidR="006041CA" w:rsidRDefault="001271CC">
      <w:pPr>
        <w:pStyle w:val="Ttulo1"/>
        <w:spacing w:before="0" w:after="120" w:line="360" w:lineRule="auto"/>
        <w:jc w:val="center"/>
        <w:rPr>
          <w:rFonts w:ascii="Calibri" w:eastAsia="Calibri" w:hAnsi="Calibri" w:cs="Calibri"/>
          <w:b/>
          <w:color w:val="660033"/>
          <w:sz w:val="52"/>
          <w:szCs w:val="52"/>
        </w:rPr>
      </w:pPr>
      <w:bookmarkStart w:id="1" w:name="_heading=h.gjdgxs" w:colFirst="0" w:colLast="0"/>
      <w:bookmarkEnd w:id="1"/>
      <w:r>
        <w:rPr>
          <w:rFonts w:ascii="Calibri" w:eastAsia="Calibri" w:hAnsi="Calibri" w:cs="Calibri"/>
          <w:b/>
          <w:color w:val="660033"/>
          <w:sz w:val="52"/>
          <w:szCs w:val="52"/>
        </w:rPr>
        <w:t>Tema I. Resultados</w:t>
      </w:r>
    </w:p>
    <w:p w14:paraId="2C120FBB" w14:textId="77777777" w:rsidR="006041CA" w:rsidRDefault="001271CC">
      <w:pPr>
        <w:spacing w:after="120" w:line="360" w:lineRule="auto"/>
      </w:pPr>
      <w:r>
        <w:br w:type="page"/>
      </w:r>
    </w:p>
    <w:p w14:paraId="4BF244E9" w14:textId="77777777" w:rsidR="006041CA" w:rsidRDefault="001271CC">
      <w:pPr>
        <w:spacing w:after="120" w:line="360" w:lineRule="auto"/>
        <w:jc w:val="both"/>
        <w:rPr>
          <w:b/>
        </w:rPr>
      </w:pPr>
      <w:r>
        <w:rPr>
          <w:b/>
        </w:rPr>
        <w:t>Pregunta 1. ¿Los resultados esperados del Programa presupuestario están alineados con los resultados esperados establecidos en la normatividad federal para el Fondo que se evalúan?</w:t>
      </w:r>
    </w:p>
    <w:p w14:paraId="284A7F87" w14:textId="77777777" w:rsidR="006041CA" w:rsidRDefault="001271CC">
      <w:pPr>
        <w:spacing w:after="120" w:line="360" w:lineRule="auto"/>
        <w:jc w:val="both"/>
        <w:rPr>
          <w:b/>
        </w:rPr>
      </w:pPr>
      <w:r>
        <w:rPr>
          <w:b/>
        </w:rPr>
        <w:t>RESPUESTA: SÍ</w:t>
      </w:r>
    </w:p>
    <w:p w14:paraId="4D0B3290" w14:textId="77777777" w:rsidR="006041CA" w:rsidRDefault="001271CC">
      <w:pPr>
        <w:spacing w:after="120" w:line="360" w:lineRule="auto"/>
        <w:jc w:val="both"/>
      </w:pPr>
      <w:r>
        <w:t>El Programa Presupuestario AE01 Educación Básica está enfocado en la atención y prestación de servicios educativos a alumnos de entre 3 y 15 años matriculados en escuelas públicas de la entidad, los resultados esperados se centran en la entrega de bienes y servicios relacionados con la Educación Básica, mostrando congruencia con la normatividad del Fondo que financia este Programa.</w:t>
      </w:r>
    </w:p>
    <w:p w14:paraId="419F93F5" w14:textId="77777777" w:rsidR="006041CA" w:rsidRDefault="001271CC">
      <w:pPr>
        <w:spacing w:after="120" w:line="360" w:lineRule="auto"/>
        <w:jc w:val="both"/>
      </w:pPr>
      <w:r>
        <w:t>Con base en la información de gabinete proporcionada, se concluye que los resultados esperados, descritos en cada nivel de desempeño de la MIR del Programa Presupuestario</w:t>
      </w:r>
      <w:r>
        <w:rPr>
          <w:vertAlign w:val="superscript"/>
        </w:rPr>
        <w:footnoteReference w:id="9"/>
      </w:r>
      <w:r>
        <w:t>, están alineados tanto con la normatividad federal del Fondo como con los objetivos de la MIR federal del FONE</w:t>
      </w:r>
      <w:r>
        <w:rPr>
          <w:vertAlign w:val="superscript"/>
        </w:rPr>
        <w:footnoteReference w:id="10"/>
      </w:r>
      <w:r>
        <w:t>.</w:t>
      </w:r>
    </w:p>
    <w:p w14:paraId="21FBE916" w14:textId="77777777" w:rsidR="006041CA" w:rsidRDefault="001271CC">
      <w:pPr>
        <w:spacing w:after="120" w:line="360" w:lineRule="auto"/>
        <w:jc w:val="both"/>
      </w:pPr>
      <w:r>
        <w:t>En el Formato 1 del Anexo 5 de esta evaluación, se detalla cada ámbito de desempeño de la MIR del Programa Presupuestario y su relación con los niveles de desempeño de la MIR federal del FONE. Este análisis confirma la congruencia y vinculación entre ambos, destacando que los Componentes definidos en la MIR del Programa Presupuestario están relacionados con los niveles de "Componente" y "Actividad" de la MIR federal del FONE, específicamente:</w:t>
      </w:r>
    </w:p>
    <w:p w14:paraId="5829A49E" w14:textId="77777777" w:rsidR="006041CA" w:rsidRDefault="001271CC">
      <w:pPr>
        <w:spacing w:after="120" w:line="360" w:lineRule="auto"/>
        <w:jc w:val="both"/>
      </w:pPr>
      <w:r>
        <w:rPr>
          <w:b/>
        </w:rPr>
        <w:t>Componente</w:t>
      </w:r>
      <w:r>
        <w:t>: "Servicios de Educación Básica otorgados por las Entidades Federativas".</w:t>
      </w:r>
    </w:p>
    <w:p w14:paraId="509D2102" w14:textId="77777777" w:rsidR="006041CA" w:rsidRDefault="001271CC">
      <w:pPr>
        <w:spacing w:after="120" w:line="360" w:lineRule="auto"/>
        <w:jc w:val="both"/>
      </w:pPr>
      <w:r>
        <w:rPr>
          <w:b/>
        </w:rPr>
        <w:t>Actividad</w:t>
      </w:r>
      <w:r>
        <w:t>: "Atención de la matrícula de Educación Básica en centros de trabajo federalizados en la entidad federativa".</w:t>
      </w:r>
    </w:p>
    <w:p w14:paraId="37081AE0" w14:textId="77777777" w:rsidR="006041CA" w:rsidRDefault="001271CC">
      <w:pPr>
        <w:spacing w:after="120" w:line="360" w:lineRule="auto"/>
        <w:jc w:val="both"/>
      </w:pPr>
      <w:r>
        <w:t>Asimismo, los objetivos del Programa Presupuestario, a nivel de Propósito y Fin, están vinculados con sus homólogos en la MIR federal del FONE.</w:t>
      </w:r>
    </w:p>
    <w:p w14:paraId="4CFBD259" w14:textId="77777777" w:rsidR="006041CA" w:rsidRDefault="001271CC">
      <w:pPr>
        <w:spacing w:after="120" w:line="360" w:lineRule="auto"/>
        <w:jc w:val="both"/>
      </w:pPr>
      <w:r>
        <w:t>En lo que respecta a la normatividad federal, se da cumplimiento con lo que se precisa en la Ley de Coordinación Fiscal</w:t>
      </w:r>
      <w:r>
        <w:rPr>
          <w:vertAlign w:val="superscript"/>
        </w:rPr>
        <w:footnoteReference w:id="11"/>
      </w:r>
      <w:r>
        <w:t>, donde se describe que los “</w:t>
      </w:r>
      <w:r>
        <w:rPr>
          <w:i/>
        </w:rPr>
        <w:t xml:space="preserve">Estados y el Distrito Federal </w:t>
      </w:r>
      <w:r>
        <w:t xml:space="preserve">serán </w:t>
      </w:r>
      <w:r>
        <w:rPr>
          <w:i/>
        </w:rPr>
        <w:t>apoyados con recursos económicos complementarios para ejercer las atribuciones, en materia de Educación Básica y Normal, que de manera exclusiva se les asignan, respectivamente, en los artículos 13 y 16 de la Ley General de Educación”</w:t>
      </w:r>
      <w:r>
        <w:t>, al mismo tiempo que los resultados esperados del Programa presupuestario cumplen con el destino que del gasto se específica en los Lineamientos del Gasto de Operación</w:t>
      </w:r>
      <w:r>
        <w:rPr>
          <w:vertAlign w:val="superscript"/>
        </w:rPr>
        <w:footnoteReference w:id="12"/>
      </w:r>
      <w:r>
        <w:t xml:space="preserve">. </w:t>
      </w:r>
    </w:p>
    <w:p w14:paraId="73C18B67" w14:textId="77777777" w:rsidR="006041CA" w:rsidRDefault="001271CC">
      <w:pPr>
        <w:spacing w:after="120" w:line="360" w:lineRule="auto"/>
        <w:rPr>
          <w:b/>
        </w:rPr>
      </w:pPr>
      <w:r>
        <w:br w:type="page"/>
      </w:r>
    </w:p>
    <w:p w14:paraId="630DDDE9" w14:textId="77777777" w:rsidR="006041CA" w:rsidRDefault="001271CC">
      <w:pPr>
        <w:spacing w:after="120" w:line="360" w:lineRule="auto"/>
        <w:jc w:val="both"/>
        <w:rPr>
          <w:b/>
        </w:rPr>
      </w:pPr>
      <w:r>
        <w:rPr>
          <w:b/>
        </w:rPr>
        <w:t>Pregunta 2. ¿Los indicadores estatales y en su caso federales utilizados para evaluar el resultado de la aplicación de los recursos, miden aspectos relevantes de los objetivos, según el marco normativo?</w:t>
      </w:r>
    </w:p>
    <w:p w14:paraId="26071846" w14:textId="77777777" w:rsidR="006041CA" w:rsidRDefault="001271CC">
      <w:pPr>
        <w:spacing w:after="120" w:line="360" w:lineRule="auto"/>
        <w:jc w:val="both"/>
        <w:rPr>
          <w:b/>
        </w:rPr>
      </w:pPr>
      <w:r>
        <w:rPr>
          <w:b/>
        </w:rPr>
        <w:t>RESPUESTA: SÍ</w:t>
      </w:r>
    </w:p>
    <w:p w14:paraId="793B0D18" w14:textId="77777777" w:rsidR="006041CA" w:rsidRDefault="001271CC">
      <w:pPr>
        <w:spacing w:after="120" w:line="360" w:lineRule="auto"/>
        <w:jc w:val="both"/>
      </w:pPr>
      <w:r>
        <w:t>De acuerdo a lo señalado en los Lineamientos para la construcción y diseño de indicadores de desempeño mediante la Metodología de Marco Lógico</w:t>
      </w:r>
      <w:r>
        <w:rPr>
          <w:vertAlign w:val="superscript"/>
        </w:rPr>
        <w:footnoteReference w:id="13"/>
      </w:r>
      <w:r>
        <w:t xml:space="preserve"> los indicadores de desempeño permitirán verificar el nivel de logro alcanzado por el Programa y deberán cumplir con seis criterios:</w:t>
      </w:r>
    </w:p>
    <w:p w14:paraId="69723F7D" w14:textId="77777777" w:rsidR="006041CA" w:rsidRDefault="001271CC">
      <w:pPr>
        <w:numPr>
          <w:ilvl w:val="0"/>
          <w:numId w:val="6"/>
        </w:numPr>
        <w:pBdr>
          <w:top w:val="nil"/>
          <w:left w:val="nil"/>
          <w:bottom w:val="nil"/>
          <w:right w:val="nil"/>
          <w:between w:val="nil"/>
        </w:pBdr>
        <w:spacing w:after="120" w:line="360" w:lineRule="auto"/>
        <w:ind w:left="714" w:hanging="357"/>
        <w:jc w:val="both"/>
        <w:rPr>
          <w:color w:val="000000"/>
        </w:rPr>
      </w:pPr>
      <w:r>
        <w:rPr>
          <w:color w:val="000000"/>
        </w:rPr>
        <w:t xml:space="preserve">Claridad: que sean precisos e inequívocos, es decir, entendibles y que no den lugar a interpretaciones; </w:t>
      </w:r>
    </w:p>
    <w:p w14:paraId="5EFA7C4B" w14:textId="77777777" w:rsidR="006041CA" w:rsidRDefault="001271CC">
      <w:pPr>
        <w:numPr>
          <w:ilvl w:val="0"/>
          <w:numId w:val="6"/>
        </w:numPr>
        <w:pBdr>
          <w:top w:val="nil"/>
          <w:left w:val="nil"/>
          <w:bottom w:val="nil"/>
          <w:right w:val="nil"/>
          <w:between w:val="nil"/>
        </w:pBdr>
        <w:spacing w:after="120" w:line="360" w:lineRule="auto"/>
        <w:ind w:left="714" w:hanging="357"/>
        <w:jc w:val="both"/>
        <w:rPr>
          <w:color w:val="000000"/>
        </w:rPr>
      </w:pPr>
      <w:r>
        <w:rPr>
          <w:color w:val="000000"/>
        </w:rPr>
        <w:t xml:space="preserve">Relevancia: que </w:t>
      </w:r>
      <w:r>
        <w:rPr>
          <w:highlight w:val="yellow"/>
        </w:rPr>
        <w:t>reflejan</w:t>
      </w:r>
      <w:r>
        <w:rPr>
          <w:color w:val="000000"/>
        </w:rPr>
        <w:t xml:space="preserve"> una dimensión importante de logro del objetivo, deben proveer información sobre la esencia del objetivo que se quiere medir; </w:t>
      </w:r>
    </w:p>
    <w:p w14:paraId="4A7F39F0" w14:textId="77777777" w:rsidR="006041CA" w:rsidRDefault="001271CC">
      <w:pPr>
        <w:numPr>
          <w:ilvl w:val="0"/>
          <w:numId w:val="6"/>
        </w:numPr>
        <w:pBdr>
          <w:top w:val="nil"/>
          <w:left w:val="nil"/>
          <w:bottom w:val="nil"/>
          <w:right w:val="nil"/>
          <w:between w:val="nil"/>
        </w:pBdr>
        <w:spacing w:after="120" w:line="360" w:lineRule="auto"/>
        <w:ind w:left="714" w:hanging="357"/>
        <w:jc w:val="both"/>
        <w:rPr>
          <w:color w:val="000000"/>
        </w:rPr>
      </w:pPr>
      <w:r>
        <w:rPr>
          <w:color w:val="000000"/>
        </w:rPr>
        <w:t xml:space="preserve">Economía: que la información que se proporcione sea necesaria para generar el indicador deberá estar disponible a un costo razonable; </w:t>
      </w:r>
    </w:p>
    <w:p w14:paraId="0DDE8D39" w14:textId="77777777" w:rsidR="006041CA" w:rsidRDefault="001271CC">
      <w:pPr>
        <w:numPr>
          <w:ilvl w:val="0"/>
          <w:numId w:val="6"/>
        </w:numPr>
        <w:pBdr>
          <w:top w:val="nil"/>
          <w:left w:val="nil"/>
          <w:bottom w:val="nil"/>
          <w:right w:val="nil"/>
          <w:between w:val="nil"/>
        </w:pBdr>
        <w:spacing w:after="120" w:line="360" w:lineRule="auto"/>
        <w:ind w:left="714" w:hanging="357"/>
        <w:jc w:val="both"/>
        <w:rPr>
          <w:color w:val="000000"/>
        </w:rPr>
      </w:pPr>
      <w:r>
        <w:rPr>
          <w:color w:val="000000"/>
        </w:rPr>
        <w:t>Monitoreable: que puedan sujetarse a una verificación independiente;</w:t>
      </w:r>
    </w:p>
    <w:p w14:paraId="2DDC7FCD" w14:textId="77777777" w:rsidR="006041CA" w:rsidRDefault="001271CC">
      <w:pPr>
        <w:numPr>
          <w:ilvl w:val="0"/>
          <w:numId w:val="6"/>
        </w:numPr>
        <w:pBdr>
          <w:top w:val="nil"/>
          <w:left w:val="nil"/>
          <w:bottom w:val="nil"/>
          <w:right w:val="nil"/>
          <w:between w:val="nil"/>
        </w:pBdr>
        <w:spacing w:after="120" w:line="360" w:lineRule="auto"/>
        <w:ind w:left="714" w:hanging="357"/>
        <w:jc w:val="both"/>
        <w:rPr>
          <w:color w:val="000000"/>
        </w:rPr>
      </w:pPr>
      <w:r>
        <w:rPr>
          <w:color w:val="000000"/>
        </w:rPr>
        <w:t>Adecuado: que aporten una base suficiente para evaluar el desempeño, y</w:t>
      </w:r>
    </w:p>
    <w:p w14:paraId="7F1FA8DF" w14:textId="77777777" w:rsidR="006041CA" w:rsidRDefault="001271CC">
      <w:pPr>
        <w:numPr>
          <w:ilvl w:val="0"/>
          <w:numId w:val="6"/>
        </w:numPr>
        <w:pBdr>
          <w:top w:val="nil"/>
          <w:left w:val="nil"/>
          <w:bottom w:val="nil"/>
          <w:right w:val="nil"/>
          <w:between w:val="nil"/>
        </w:pBdr>
        <w:spacing w:after="120" w:line="360" w:lineRule="auto"/>
        <w:ind w:left="714" w:hanging="357"/>
        <w:jc w:val="both"/>
        <w:rPr>
          <w:color w:val="000000"/>
          <w:sz w:val="24"/>
          <w:szCs w:val="24"/>
        </w:rPr>
      </w:pPr>
      <w:r>
        <w:rPr>
          <w:color w:val="000000"/>
        </w:rPr>
        <w:t xml:space="preserve">Aportación marginal: que en el caso de que exista más de un indicador para medir el desempeño en determinado nivel de objetivo, debe proveer información adicional en comparación con los otros indicadores propuestos. </w:t>
      </w:r>
    </w:p>
    <w:p w14:paraId="7C9E6533" w14:textId="77777777" w:rsidR="006041CA" w:rsidRDefault="001271CC">
      <w:pPr>
        <w:spacing w:after="120" w:line="360" w:lineRule="auto"/>
        <w:jc w:val="both"/>
      </w:pPr>
      <w:r>
        <w:t>En la respuesta a esta pregunta se analiza la relevancia de los indicadores definidos en la MIR federal del FONE, llegando a las siguientes conclusiones:</w:t>
      </w:r>
    </w:p>
    <w:p w14:paraId="639D4ED6" w14:textId="77777777" w:rsidR="006041CA" w:rsidRDefault="001271CC">
      <w:pPr>
        <w:spacing w:after="120" w:line="360" w:lineRule="auto"/>
        <w:jc w:val="both"/>
      </w:pPr>
      <w:r>
        <w:rPr>
          <w:b/>
        </w:rPr>
        <w:t>Fin</w:t>
      </w:r>
      <w:r>
        <w:t>: Para medir el cumplimiento del objetivo en este nivel de desempeño, se definieron cinco indicadores:</w:t>
      </w:r>
    </w:p>
    <w:p w14:paraId="24E64495"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Porcentaje de abandono escolar del nivel secundaria en la entidad federativa en centros de trabajo federalizados.</w:t>
      </w:r>
    </w:p>
    <w:p w14:paraId="30E1BDA1"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Tasa bruta de escolarización del nivel primaria en la entidad federativa en centros de trabajo federalizados.</w:t>
      </w:r>
    </w:p>
    <w:p w14:paraId="5F34977D"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Porcentaje de abandono escolar del nivel primaria en la entidad federativa en centros de trabajo federalizados.</w:t>
      </w:r>
    </w:p>
    <w:p w14:paraId="7FA4739E"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Tasa bruta de escolarización del nivel secundaria en la entidad federativa en centros de trabajo federalizados.</w:t>
      </w:r>
    </w:p>
    <w:p w14:paraId="62F4731A"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Tasa bruta de escolarización del nivel preescolar en la entidad federativa en centros de trabajo federalizados.</w:t>
      </w:r>
    </w:p>
    <w:p w14:paraId="56F08C47" w14:textId="77777777" w:rsidR="006041CA" w:rsidRDefault="001271CC">
      <w:pPr>
        <w:spacing w:after="120" w:line="360" w:lineRule="auto"/>
        <w:jc w:val="both"/>
      </w:pPr>
      <w:r>
        <w:t>Estos indicadores son relevantes, ya que en conjunto proporcionan información esencial sobre el cumplimiento del objetivo a este nivel de desempeño.</w:t>
      </w:r>
    </w:p>
    <w:p w14:paraId="654265D8" w14:textId="77777777" w:rsidR="006041CA" w:rsidRDefault="001271CC">
      <w:pPr>
        <w:spacing w:after="120" w:line="360" w:lineRule="auto"/>
        <w:jc w:val="both"/>
      </w:pPr>
      <w:r>
        <w:rPr>
          <w:b/>
        </w:rPr>
        <w:t>Propósito</w:t>
      </w:r>
      <w:r>
        <w:t>: En este nivel se definieron dos indicadores:</w:t>
      </w:r>
    </w:p>
    <w:p w14:paraId="3F49F872"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Eficiencia terminal en educación primaria.</w:t>
      </w:r>
    </w:p>
    <w:p w14:paraId="13CCF340"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Eficiencia terminal en educación secundaria.</w:t>
      </w:r>
    </w:p>
    <w:p w14:paraId="389C9CD1"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Ambos indicadores son relevantes, ya que permiten conocer cuántos alumnos completaron satisfactoriamente el grado escolar correspondiente, reflejando una dimensión clave del logro del objetivo.</w:t>
      </w:r>
    </w:p>
    <w:p w14:paraId="6B38CB1A" w14:textId="77777777" w:rsidR="006041CA" w:rsidRDefault="001271CC">
      <w:pPr>
        <w:spacing w:after="120" w:line="360" w:lineRule="auto"/>
        <w:jc w:val="both"/>
      </w:pPr>
      <w:r>
        <w:rPr>
          <w:b/>
        </w:rPr>
        <w:t>Componente</w:t>
      </w:r>
      <w:r>
        <w:t>: Se establecieron tres indicadores:</w:t>
      </w:r>
    </w:p>
    <w:p w14:paraId="7CD481BA"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Tasa de variación de beneficiarios atendidos en centros de trabajo federalizados del nivel primaria en la entidad federativa.</w:t>
      </w:r>
    </w:p>
    <w:p w14:paraId="7F81C250"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Tasa de variación de beneficiarios atendidos en centros de trabajo federalizados del nivel preescolar en la entidad federativa.</w:t>
      </w:r>
    </w:p>
    <w:p w14:paraId="3008801C"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Tasa de variación de beneficiarios atendidos en centros de trabajo federalizados del nivel secundaria en la entidad federativa.</w:t>
      </w:r>
    </w:p>
    <w:p w14:paraId="51276E30" w14:textId="77777777" w:rsidR="006041CA" w:rsidRDefault="001271CC">
      <w:pPr>
        <w:spacing w:after="120" w:line="360" w:lineRule="auto"/>
        <w:jc w:val="both"/>
      </w:pPr>
      <w:r>
        <w:t>Estos indicadores son relevantes porque reflejan cuántos beneficiarios reciben servicios de Educación Básica en cada nivel educativo, aportando información importante sobre el logro del objetivo.</w:t>
      </w:r>
    </w:p>
    <w:p w14:paraId="70BB143B" w14:textId="77777777" w:rsidR="006041CA" w:rsidRDefault="001271CC">
      <w:pPr>
        <w:spacing w:after="120" w:line="360" w:lineRule="auto"/>
        <w:jc w:val="both"/>
      </w:pPr>
      <w:r>
        <w:rPr>
          <w:b/>
        </w:rPr>
        <w:t>Actividad</w:t>
      </w:r>
      <w:r>
        <w:t>: En este nivel se definieron tres indicadores:</w:t>
      </w:r>
    </w:p>
    <w:p w14:paraId="540411BF"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Porcentaje de alumnos matriculados en educación preescolar atendidos en centros de trabajo federalizados.</w:t>
      </w:r>
    </w:p>
    <w:p w14:paraId="3B299F09"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Porcentaje de alumnos matriculados en educación primaria atendidos en centros de trabajo federalizados.</w:t>
      </w:r>
    </w:p>
    <w:p w14:paraId="46C6DD28"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Porcentaje de alumnos matriculados en educación secundaria atendidos en centros de trabajo federalizados.</w:t>
      </w:r>
    </w:p>
    <w:p w14:paraId="561F2CE9" w14:textId="77777777" w:rsidR="006041CA" w:rsidRDefault="001271CC">
      <w:pPr>
        <w:spacing w:after="120" w:line="360" w:lineRule="auto"/>
        <w:jc w:val="both"/>
      </w:pPr>
      <w:r>
        <w:t>Estos indicadores son relevantes, ya que proporcionan información sobre la dimensión clave del logro del objetivo y la esencia de lo que se quiere medir.</w:t>
      </w:r>
    </w:p>
    <w:p w14:paraId="050AB745" w14:textId="77777777" w:rsidR="006041CA" w:rsidRDefault="006041CA">
      <w:pPr>
        <w:spacing w:after="120" w:line="360" w:lineRule="auto"/>
        <w:jc w:val="both"/>
      </w:pPr>
    </w:p>
    <w:p w14:paraId="072596A1" w14:textId="77777777" w:rsidR="006041CA" w:rsidRDefault="001271CC">
      <w:pPr>
        <w:spacing w:after="120" w:line="360" w:lineRule="auto"/>
        <w:jc w:val="both"/>
      </w:pPr>
      <w:r>
        <w:t>En cuanto a la MIR del Programa Presupuestario AE01 Educación Básica, las conclusiones son las siguientes:</w:t>
      </w:r>
    </w:p>
    <w:p w14:paraId="481059AE" w14:textId="77777777" w:rsidR="006041CA" w:rsidRDefault="001271CC">
      <w:pPr>
        <w:spacing w:after="120" w:line="360" w:lineRule="auto"/>
        <w:jc w:val="both"/>
      </w:pPr>
      <w:r>
        <w:rPr>
          <w:b/>
        </w:rPr>
        <w:t>Fin</w:t>
      </w:r>
      <w:r>
        <w:t>: En este ámbito se definieron seis indicadores:</w:t>
      </w:r>
    </w:p>
    <w:p w14:paraId="364D5515"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Porcentaje de abandono escolar en educación primaria, total.</w:t>
      </w:r>
    </w:p>
    <w:p w14:paraId="4FC5DD8C"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Porcentaje de abandono escolar en educación secundaria, total.</w:t>
      </w:r>
    </w:p>
    <w:p w14:paraId="74D1124E"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Porcentaje de escuelas públicas de educación preescolar y primaria generales e indígenas que fortalecen sus capacidades técnicas y pedagógicas para la enseñanza y aprendizaje del idioma inglés.</w:t>
      </w:r>
    </w:p>
    <w:p w14:paraId="13B8415C"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Porcentaje de escuelas públicas de educación secundaria generales y técnicas que fortalecen sus capacidades técnicas y pedagógicas para la enseñanza y aprendizaje del idioma inglés.</w:t>
      </w:r>
    </w:p>
    <w:p w14:paraId="1EB02630"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Cobertura de educación inicial escolarizada.</w:t>
      </w:r>
    </w:p>
    <w:p w14:paraId="66B5C904"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Tasa de variación de la atención de las niñas y niños inscritos en los Centros de Atención Infantil (CAI) de la SEP.</w:t>
      </w:r>
    </w:p>
    <w:p w14:paraId="66ED8687" w14:textId="77777777" w:rsidR="006041CA" w:rsidRDefault="001271CC">
      <w:pPr>
        <w:spacing w:after="120" w:line="360" w:lineRule="auto"/>
        <w:jc w:val="both"/>
      </w:pPr>
      <w:r>
        <w:t>Cada indicador aporta información relevante que, en conjunto, permite evaluar la calidad de la Educación Básica en la entidad, cumpliendo con el criterio de relevancia.</w:t>
      </w:r>
    </w:p>
    <w:p w14:paraId="414ECE59" w14:textId="77777777" w:rsidR="006041CA" w:rsidRDefault="001271CC">
      <w:pPr>
        <w:spacing w:after="120" w:line="360" w:lineRule="auto"/>
        <w:jc w:val="both"/>
      </w:pPr>
      <w:r>
        <w:rPr>
          <w:b/>
        </w:rPr>
        <w:t>Propósito</w:t>
      </w:r>
      <w:r>
        <w:t>: Se definió un indicador:</w:t>
      </w:r>
    </w:p>
    <w:p w14:paraId="074EF5FE" w14:textId="77777777" w:rsidR="006041CA" w:rsidRDefault="001271CC">
      <w:pPr>
        <w:numPr>
          <w:ilvl w:val="0"/>
          <w:numId w:val="12"/>
        </w:numPr>
        <w:pBdr>
          <w:top w:val="nil"/>
          <w:left w:val="nil"/>
          <w:bottom w:val="nil"/>
          <w:right w:val="nil"/>
          <w:between w:val="nil"/>
        </w:pBdr>
        <w:spacing w:after="120" w:line="360" w:lineRule="auto"/>
        <w:ind w:left="714" w:hanging="357"/>
        <w:jc w:val="both"/>
        <w:rPr>
          <w:color w:val="000000"/>
        </w:rPr>
      </w:pPr>
      <w:r>
        <w:rPr>
          <w:color w:val="000000"/>
        </w:rPr>
        <w:t>Cobertura de Educación Básica en escuelas públicas del Estado.</w:t>
      </w:r>
    </w:p>
    <w:p w14:paraId="7B3FB396" w14:textId="77777777" w:rsidR="006041CA" w:rsidRDefault="001271CC">
      <w:pPr>
        <w:spacing w:after="120" w:line="360" w:lineRule="auto"/>
        <w:jc w:val="both"/>
      </w:pPr>
      <w:r>
        <w:t>Este indicador es relevante porque refleja una dimensión clave del logro del objetivo y aporta información sobre su esencia.</w:t>
      </w:r>
    </w:p>
    <w:p w14:paraId="55D98909" w14:textId="77777777" w:rsidR="006041CA" w:rsidRDefault="001271CC">
      <w:pPr>
        <w:spacing w:after="120" w:line="360" w:lineRule="auto"/>
        <w:jc w:val="both"/>
      </w:pPr>
      <w:r>
        <w:rPr>
          <w:b/>
        </w:rPr>
        <w:t>Componente</w:t>
      </w:r>
      <w:r>
        <w:t>:</w:t>
      </w:r>
    </w:p>
    <w:p w14:paraId="156B0EBD" w14:textId="77777777" w:rsidR="006041CA" w:rsidRDefault="001271CC">
      <w:pPr>
        <w:spacing w:after="120" w:line="360" w:lineRule="auto"/>
        <w:jc w:val="both"/>
      </w:pPr>
      <w:r>
        <w:t>En este nivel se definieron ocho indicadores, cada uno correspondiente a un Componente. Todos cumplen con el criterio de relevancia, ya que reflejan dimensiones importantes del logro del objetivo y proporcionan información esencial.</w:t>
      </w:r>
    </w:p>
    <w:p w14:paraId="472134CA" w14:textId="77777777" w:rsidR="006041CA" w:rsidRDefault="001271CC">
      <w:pPr>
        <w:spacing w:after="120" w:line="360" w:lineRule="auto"/>
        <w:jc w:val="both"/>
      </w:pPr>
      <w:r>
        <w:t>De lo anterior, se concluye que los indicadores definidos en la MIR del Programa presupuestario de índole estatal, así como también los indicadores de la MIR federal del FONE que son utilizados para evaluar el resultado de la aplicación de los recursos, logran medir los aspectos relevantes</w:t>
      </w:r>
      <w:r>
        <w:rPr>
          <w:vertAlign w:val="superscript"/>
        </w:rPr>
        <w:footnoteReference w:id="14"/>
      </w:r>
      <w:r>
        <w:t xml:space="preserve"> de los objetivos de cada uno de los ámbitos de desempeño de ambas matrices.</w:t>
      </w:r>
    </w:p>
    <w:p w14:paraId="5FF2F1D6" w14:textId="77777777" w:rsidR="006041CA" w:rsidRDefault="001271CC">
      <w:pPr>
        <w:spacing w:after="120" w:line="360" w:lineRule="auto"/>
        <w:jc w:val="both"/>
      </w:pPr>
      <w:r>
        <w:t>En el Formato 2 del anexo 5 de la presente evaluación, se enlistan los indicadores para cada ámbito de desempeño, así como también los objetivos con los cuales es posible identificar el cumplimiento del criterio de Relevancia definido por el CONAC.</w:t>
      </w:r>
    </w:p>
    <w:p w14:paraId="06349163" w14:textId="77777777" w:rsidR="006041CA" w:rsidRDefault="006041CA">
      <w:pPr>
        <w:spacing w:after="120" w:line="360" w:lineRule="auto"/>
        <w:jc w:val="both"/>
      </w:pPr>
    </w:p>
    <w:p w14:paraId="29BA32FF" w14:textId="77777777" w:rsidR="006041CA" w:rsidRDefault="001271CC">
      <w:pPr>
        <w:spacing w:after="120" w:line="360" w:lineRule="auto"/>
        <w:jc w:val="both"/>
      </w:pPr>
      <w:r>
        <w:br w:type="page"/>
      </w:r>
    </w:p>
    <w:p w14:paraId="674324AB" w14:textId="77777777" w:rsidR="006041CA" w:rsidRDefault="001271CC">
      <w:pPr>
        <w:spacing w:after="120" w:line="360" w:lineRule="auto"/>
        <w:jc w:val="both"/>
        <w:rPr>
          <w:b/>
        </w:rPr>
      </w:pPr>
      <w:r>
        <w:rPr>
          <w:b/>
        </w:rPr>
        <w:t>Pregunta 3. ¿La descripción de la población o área de enfoque potencial y objetivo definida para el Programa presupuestario financiado con el Fondo que se evalúan, son acordes con las establecidas en el marco normativo y programático federal y están cuantificadas para la entidad federativa?</w:t>
      </w:r>
    </w:p>
    <w:p w14:paraId="15E2B1A1" w14:textId="77777777" w:rsidR="006041CA" w:rsidRDefault="001271CC">
      <w:pPr>
        <w:spacing w:after="120" w:line="360" w:lineRule="auto"/>
        <w:jc w:val="both"/>
        <w:rPr>
          <w:b/>
        </w:rPr>
      </w:pPr>
      <w:r>
        <w:rPr>
          <w:b/>
        </w:rPr>
        <w:t>RESPUESTA: SÍ</w:t>
      </w:r>
    </w:p>
    <w:p w14:paraId="34C52A7B" w14:textId="77777777" w:rsidR="006041CA" w:rsidRDefault="001271CC">
      <w:pPr>
        <w:spacing w:after="120" w:line="360" w:lineRule="auto"/>
        <w:jc w:val="both"/>
      </w:pPr>
      <w:r>
        <w:t>Con base en la información proporcionada en gabinete, se verifica que la descripción de la población potencial y objetivo definida para el Programa Presupuestario AE01 Educación Básica es congruente tanto con el marco programático federal como con lo establecido en el ámbito estatal.</w:t>
      </w:r>
    </w:p>
    <w:p w14:paraId="0AFB84FB" w14:textId="77777777" w:rsidR="006041CA" w:rsidRDefault="001271CC">
      <w:pPr>
        <w:spacing w:after="120" w:line="360" w:lineRule="auto"/>
        <w:jc w:val="both"/>
      </w:pPr>
      <w:r>
        <w:t>En el marco programático federal, representado por la Matriz de Indicadores para Resultados (MIR) del FONE,</w:t>
      </w:r>
      <w:r>
        <w:rPr>
          <w:vertAlign w:val="superscript"/>
        </w:rPr>
        <w:footnoteReference w:id="15"/>
      </w:r>
      <w:r>
        <w:t xml:space="preserve"> se señala en su Propósito (donde, según las reglas de redacción de la MML, deben identificarse los beneficiarios</w:t>
      </w:r>
      <w:r>
        <w:rPr>
          <w:vertAlign w:val="superscript"/>
        </w:rPr>
        <w:footnoteReference w:id="16"/>
      </w:r>
      <w:r>
        <w:t>) que la población beneficiaria corresponde a “la población en edad de 3 a 15 años”, de manera congruente, la MIR del Programa Presupuestario especifica que los beneficiarios son “niños y niñas de 3 a 15 años de edad”, como se observa, en ambos casos las poblaciones presentan las mismas características.</w:t>
      </w:r>
    </w:p>
    <w:p w14:paraId="6E2951EB" w14:textId="77777777" w:rsidR="006041CA" w:rsidRDefault="001271CC">
      <w:pPr>
        <w:spacing w:after="120" w:line="360" w:lineRule="auto"/>
        <w:jc w:val="both"/>
      </w:pPr>
      <w:r>
        <w:t>Además, los beneficiarios descritos en los documentos programáticos federal y estatal coinciden con lo establecido en el documento institucional Estrategia de Cobertura, proporcionado por la Secretaría de Educación del Estado de Michoacán. Este documento describe y cuantifica a la población:</w:t>
      </w:r>
    </w:p>
    <w:p w14:paraId="4238A22D" w14:textId="77777777" w:rsidR="006041CA" w:rsidRDefault="001271CC">
      <w:pPr>
        <w:spacing w:after="120" w:line="360" w:lineRule="auto"/>
        <w:jc w:val="both"/>
      </w:pPr>
      <w:r>
        <w:rPr>
          <w:b/>
        </w:rPr>
        <w:t>Población potencial</w:t>
      </w:r>
      <w:r>
        <w:t>: “Población de 3 a 15 años en el Estado de Michoacán en 2023”, con un total de 1,167,496 personas.</w:t>
      </w:r>
    </w:p>
    <w:p w14:paraId="11B2714A" w14:textId="77777777" w:rsidR="006041CA" w:rsidRDefault="001271CC">
      <w:pPr>
        <w:spacing w:after="120" w:line="360" w:lineRule="auto"/>
        <w:jc w:val="both"/>
      </w:pPr>
      <w:r>
        <w:rPr>
          <w:b/>
        </w:rPr>
        <w:t>Población objetivo</w:t>
      </w:r>
      <w:r>
        <w:t>: “Alumnos inscritos en Educación Básica en escuelas de educación pública en el ciclo escolar 2022-2023”, con un total de 728,848 personas.</w:t>
      </w:r>
    </w:p>
    <w:p w14:paraId="05B0EEAA" w14:textId="77777777" w:rsidR="006041CA" w:rsidRDefault="001271CC">
      <w:pPr>
        <w:spacing w:after="120" w:line="360" w:lineRule="auto"/>
        <w:jc w:val="both"/>
      </w:pPr>
      <w:r>
        <w:t>Lo anterior confirma la congruencia entre lo señalado en los marcos programáticos federal y estatal, además de garantizar su correcta cuantificación.</w:t>
      </w:r>
    </w:p>
    <w:p w14:paraId="6FC0ADDF" w14:textId="77777777" w:rsidR="006041CA" w:rsidRDefault="001271CC">
      <w:pPr>
        <w:spacing w:after="120" w:line="360" w:lineRule="auto"/>
        <w:jc w:val="both"/>
      </w:pPr>
      <w:r>
        <w:t>Finalmente, en el Formato 3 del Anexo 5 de esta evaluación, se detallan tanto los documentos programáticos federal y estatal como los bienes y servicios entregados o dirigidos a la población objetivo del Programa Presupuestario AE01 Educación Básica</w:t>
      </w:r>
      <w:proofErr w:type="gramStart"/>
      <w:r>
        <w:t>..</w:t>
      </w:r>
      <w:proofErr w:type="gramEnd"/>
      <w:r>
        <w:br w:type="page"/>
      </w:r>
    </w:p>
    <w:p w14:paraId="4DDB341B" w14:textId="77777777" w:rsidR="006041CA" w:rsidRDefault="001271CC">
      <w:pPr>
        <w:spacing w:after="120" w:line="360" w:lineRule="auto"/>
        <w:jc w:val="both"/>
        <w:rPr>
          <w:b/>
        </w:rPr>
      </w:pPr>
      <w:r>
        <w:rPr>
          <w:b/>
        </w:rPr>
        <w:t>Pregunta 4. ¿Los indicadores de resultado estatales cumplieron con las metas comprometidas en el período 2021-2023?</w:t>
      </w:r>
    </w:p>
    <w:p w14:paraId="6D6ABF74" w14:textId="77777777" w:rsidR="006041CA" w:rsidRDefault="001271CC">
      <w:pPr>
        <w:spacing w:after="120" w:line="360" w:lineRule="auto"/>
        <w:jc w:val="both"/>
        <w:rPr>
          <w:b/>
        </w:rPr>
      </w:pPr>
      <w:r>
        <w:rPr>
          <w:b/>
        </w:rPr>
        <w:t>RESPUESTA: SÍ, PARCIALMENTE</w:t>
      </w:r>
    </w:p>
    <w:p w14:paraId="333FC891" w14:textId="77777777" w:rsidR="006041CA" w:rsidRDefault="001271CC">
      <w:pPr>
        <w:spacing w:after="120" w:line="360" w:lineRule="auto"/>
        <w:jc w:val="both"/>
      </w:pPr>
      <w:r>
        <w:t>De acuerdo a la información de gabinete proporcionada es posible analizar las metas Programadas y alcanzadas de los indicadores estratégicos de resultados que son a nivel de Fin y Propósito de la MIR de indicadores del Programa presupuestario AE01 Educación Básica</w:t>
      </w:r>
      <w:r>
        <w:rPr>
          <w:vertAlign w:val="superscript"/>
        </w:rPr>
        <w:footnoteReference w:id="17"/>
      </w:r>
      <w:r>
        <w:t xml:space="preserve"> que es financiado con recursos del FONE durante el periodo 2021-2023, dicha información se enlista en una Tabla y su respectivo gráfico los cuales pueden ser analizados en el Formato 4 del anexo 5.</w:t>
      </w:r>
    </w:p>
    <w:p w14:paraId="30FE2D3B" w14:textId="77777777" w:rsidR="006041CA" w:rsidRDefault="001271CC">
      <w:pPr>
        <w:spacing w:after="120" w:line="360" w:lineRule="auto"/>
        <w:jc w:val="both"/>
      </w:pPr>
      <w:r>
        <w:t>De los resultados de los indicadores de dicho periodo se identifica lo siguiente:</w:t>
      </w:r>
    </w:p>
    <w:p w14:paraId="221A0002" w14:textId="77777777" w:rsidR="006041CA" w:rsidRDefault="001271CC">
      <w:pPr>
        <w:spacing w:after="120" w:line="360" w:lineRule="auto"/>
        <w:jc w:val="both"/>
      </w:pPr>
      <w:r>
        <w:t xml:space="preserve">A nivel de Fin se definen seis indicadores, los cuales sólo para el ejercicio fiscal 2022 y 2023 son los mismos, ya que para el ejercicio 2021 sólo se definen cuatro, los cuales sí coinciden con los indicadores actuales, por lo cual sí es posible realizar el análisis. </w:t>
      </w:r>
    </w:p>
    <w:p w14:paraId="5A7F22D1" w14:textId="77777777" w:rsidR="006041CA" w:rsidRDefault="001271CC">
      <w:pPr>
        <w:numPr>
          <w:ilvl w:val="0"/>
          <w:numId w:val="8"/>
        </w:numPr>
        <w:pBdr>
          <w:top w:val="nil"/>
          <w:left w:val="nil"/>
          <w:bottom w:val="nil"/>
          <w:right w:val="nil"/>
          <w:between w:val="nil"/>
        </w:pBdr>
        <w:spacing w:after="120" w:line="360" w:lineRule="auto"/>
        <w:ind w:left="714" w:hanging="357"/>
        <w:jc w:val="both"/>
        <w:rPr>
          <w:color w:val="000000"/>
        </w:rPr>
      </w:pPr>
      <w:r>
        <w:rPr>
          <w:color w:val="000000"/>
        </w:rPr>
        <w:t>Porcentaje de abandono escolar en educación primaria, total: con relación a la meta alcanzada en cada ejercicio fiscal durante el periodo 2021-2023, se identifica una variación porcentual en dicho período del 52.13%, ya que en el 2021 se obtiene un resultado del .94%, mientras que para el 2023 se reporta un resultado del 1.43%, lo cual denota un aumento en el porcentaje de abandono escolar en educación primaria de acuerdo a lo obtenido en el ejercicio 2021 con relación al resultado del ejercicio 2023, lo cual no es recomendable esta tendencia.</w:t>
      </w:r>
    </w:p>
    <w:p w14:paraId="5A67A0D0" w14:textId="77777777" w:rsidR="006041CA" w:rsidRDefault="001271CC">
      <w:pPr>
        <w:numPr>
          <w:ilvl w:val="0"/>
          <w:numId w:val="8"/>
        </w:numPr>
        <w:pBdr>
          <w:top w:val="nil"/>
          <w:left w:val="nil"/>
          <w:bottom w:val="nil"/>
          <w:right w:val="nil"/>
          <w:between w:val="nil"/>
        </w:pBdr>
        <w:spacing w:after="120" w:line="360" w:lineRule="auto"/>
        <w:jc w:val="both"/>
        <w:rPr>
          <w:color w:val="000000"/>
        </w:rPr>
      </w:pPr>
      <w:r>
        <w:rPr>
          <w:color w:val="000000"/>
        </w:rPr>
        <w:t>Porcentaje de abandono escolar en educación secundaria, total: en este indicador se identifica una variación porcentual en el período 2021-2023 del -22.94%, lo cual denota que el abandono escolar en este nivel educativo ha disminuido, ya que en el 2021 se reportó el 2.31% mientras que en el ejercicio 2023 se reporta el 1.78% y al ser un indicador de tendencia descendente esta variación es aceptable.</w:t>
      </w:r>
    </w:p>
    <w:p w14:paraId="54913330" w14:textId="77777777" w:rsidR="006041CA" w:rsidRDefault="001271CC">
      <w:pPr>
        <w:numPr>
          <w:ilvl w:val="0"/>
          <w:numId w:val="8"/>
        </w:numPr>
        <w:pBdr>
          <w:top w:val="nil"/>
          <w:left w:val="nil"/>
          <w:bottom w:val="nil"/>
          <w:right w:val="nil"/>
          <w:between w:val="nil"/>
        </w:pBdr>
        <w:spacing w:after="120" w:line="360" w:lineRule="auto"/>
        <w:jc w:val="both"/>
        <w:rPr>
          <w:color w:val="000000"/>
        </w:rPr>
      </w:pPr>
      <w:r>
        <w:rPr>
          <w:color w:val="000000"/>
        </w:rPr>
        <w:t>Porcentaje de escuelas públicas de educación preescolar y primaria generales e indígenas que fortalecen sus capacidades técnicas y pedagógicas para la enseñanza y aprendizaje del idioma inglés: este indicador se define a partir de la MIR del 2022 y del 2023, por lo cual el análisis de variación corresponde a estos dos ejercicios fiscales, de lo cual se observa una variación del 199.47%, ya que en el ejercicio 2022 se reporta un cumplimiento del 1.89% y en el 2023 se reporta del 5.66%, y al ser un indicador ascendente el resultado denota un cumplimiento de este indicador en este periodo analizado.</w:t>
      </w:r>
    </w:p>
    <w:p w14:paraId="61659A4B" w14:textId="77777777" w:rsidR="006041CA" w:rsidRDefault="001271CC">
      <w:pPr>
        <w:numPr>
          <w:ilvl w:val="0"/>
          <w:numId w:val="8"/>
        </w:numPr>
        <w:pBdr>
          <w:top w:val="nil"/>
          <w:left w:val="nil"/>
          <w:bottom w:val="nil"/>
          <w:right w:val="nil"/>
          <w:between w:val="nil"/>
        </w:pBdr>
        <w:spacing w:after="120" w:line="360" w:lineRule="auto"/>
        <w:jc w:val="both"/>
        <w:rPr>
          <w:color w:val="000000"/>
        </w:rPr>
      </w:pPr>
      <w:r>
        <w:rPr>
          <w:color w:val="000000"/>
        </w:rPr>
        <w:t>Porcentaje de escuelas públicas de educación secundaria generales y técnicas que fortalecen sus capacidades técnicas y pedagógicas para la enseñanza y aprendizaje del idioma inglés: este indicador presenta la misma situación respecto a que se define a partir de la MIR del 2022 y del 2023, por lo cual el análisis de variación corresponde a estos dos ejercicios fiscales, de lo cual se observa una variación del 80.34%, ya que en el ejercicio 2022 se reporta un cumplimiento del 42.88% y en el 2023 se reporta del 77.33%, y al ser un indicador ascendente el resultado denota un cumplimiento de este indicador en este periodo analizado.</w:t>
      </w:r>
    </w:p>
    <w:p w14:paraId="11DD11A1" w14:textId="77777777" w:rsidR="006041CA" w:rsidRDefault="001271CC">
      <w:pPr>
        <w:numPr>
          <w:ilvl w:val="0"/>
          <w:numId w:val="8"/>
        </w:numPr>
        <w:pBdr>
          <w:top w:val="nil"/>
          <w:left w:val="nil"/>
          <w:bottom w:val="nil"/>
          <w:right w:val="nil"/>
          <w:between w:val="nil"/>
        </w:pBdr>
        <w:spacing w:after="120" w:line="360" w:lineRule="auto"/>
        <w:jc w:val="both"/>
        <w:rPr>
          <w:color w:val="000000"/>
        </w:rPr>
      </w:pPr>
      <w:r>
        <w:rPr>
          <w:color w:val="000000"/>
        </w:rPr>
        <w:t>Cobertura de educación inicial escolarizada: en este indicador se reporta para el ejercicio 2021 un resultado del 6.10%, mientras que para el 2023 se reporta el 4.52% lo cual arroja una variación del -25.90% lo cual se presenta un incumplimiento de este indicador durante este periodo, sin embargo, es importante señalar los factores externos que pueden poner en riesgo estos resultados, ya que se toma en cuenta población vulnerable como lo son los niños de 0 a 3 años de edad que reciben el servicio de educación inicial a través los CAI de la SEP, los cuales pueden dejar de ir a la instituciones y no terminar con su escolarización, lo cual se puede reflejar en dichos indicadores.</w:t>
      </w:r>
    </w:p>
    <w:p w14:paraId="68FA13EB" w14:textId="77777777" w:rsidR="006041CA" w:rsidRDefault="001271CC">
      <w:pPr>
        <w:numPr>
          <w:ilvl w:val="0"/>
          <w:numId w:val="8"/>
        </w:numPr>
        <w:pBdr>
          <w:top w:val="nil"/>
          <w:left w:val="nil"/>
          <w:bottom w:val="nil"/>
          <w:right w:val="nil"/>
          <w:between w:val="nil"/>
        </w:pBdr>
        <w:spacing w:after="120" w:line="360" w:lineRule="auto"/>
        <w:jc w:val="both"/>
        <w:rPr>
          <w:color w:val="000000"/>
        </w:rPr>
      </w:pPr>
      <w:r>
        <w:rPr>
          <w:color w:val="000000"/>
        </w:rPr>
        <w:t>Tasa de variación de la atención de las niñas y niños inscritos en los Centros de Atención Infantil (CAI) de la SEP: este indicador reporta un resultado del -99.53% para ejercicio 2021 y para el ejercicio 2023 reporta un cumplimiento del 3.67%, lo cual al ser un indicador ascendente y obtener dicho resultado al salir del porcentaje negativo denota un cumplimiento positivo obteniendo una variación del 103.69%.</w:t>
      </w:r>
    </w:p>
    <w:p w14:paraId="5CDB14AE" w14:textId="77777777" w:rsidR="006041CA" w:rsidRDefault="001271CC">
      <w:pPr>
        <w:spacing w:after="120" w:line="360" w:lineRule="auto"/>
        <w:jc w:val="both"/>
      </w:pPr>
      <w:r>
        <w:t>Para el indicador a nivel de Propósito se reporta un cumplimiento en el ejercicio fiscal 2021 del 80.19%, mientras que para el 2023 se reporta el 76.22% dando como resultado una variación del -4.95%, lo cual presenta una disminución respecto a la cobertura de Educación Básica; no obstante, es importante señalar que en esta disminución influyen varios factores externos al Programa, una de ellos que la población solicite ser atendido (se matricule) en escuelas públicas.</w:t>
      </w:r>
    </w:p>
    <w:p w14:paraId="5BB55025" w14:textId="77777777" w:rsidR="006041CA" w:rsidRDefault="001271CC">
      <w:pPr>
        <w:spacing w:after="120" w:line="360" w:lineRule="auto"/>
        <w:jc w:val="both"/>
      </w:pPr>
      <w:r>
        <w:t>Con base en lo anterior, la respuesta es positiva parcialmente, ya que algunos resultados reportados muestran una variación negativa, sin embargo, no todos estos resultados pueden atribuirse a deficiencias en la gestión del Programa, sino a factores externos que ponen en riesgo el cumplimiento de sus objetivos.</w:t>
      </w:r>
    </w:p>
    <w:p w14:paraId="55D07BB9" w14:textId="77777777" w:rsidR="006041CA" w:rsidRDefault="001271CC">
      <w:pPr>
        <w:spacing w:after="120" w:line="360" w:lineRule="auto"/>
        <w:jc w:val="both"/>
      </w:pPr>
      <w:r>
        <w:t>Por ello, se recomienda realizar un análisis detallado de los resultados de los indicadores en este periodo y considerar esta información para la Programación de metas futuras. Esto permitirá que los próximos resultados sean más confiables y menos susceptibles a la influencia de factores externos ajenos a la dependencia.</w:t>
      </w:r>
      <w:r>
        <w:br w:type="page"/>
      </w:r>
    </w:p>
    <w:p w14:paraId="3A2751B5" w14:textId="77777777" w:rsidR="006041CA" w:rsidRDefault="001271CC">
      <w:pPr>
        <w:spacing w:after="120" w:line="360" w:lineRule="auto"/>
        <w:jc w:val="both"/>
        <w:rPr>
          <w:b/>
        </w:rPr>
      </w:pPr>
      <w:r>
        <w:rPr>
          <w:b/>
        </w:rPr>
        <w:t>Pregunta 5. ¿El Ente Público ejecutor del Fondo con el que está financiado el Programa presupuestario que se evalúa cumplió con las metas Programadas en los indicadores de gestión de responsabilidad estatal definidos en la MIR Federal durante el período 2021-2023?</w:t>
      </w:r>
    </w:p>
    <w:p w14:paraId="11765D01" w14:textId="77777777" w:rsidR="006041CA" w:rsidRDefault="001271CC">
      <w:pPr>
        <w:spacing w:after="120" w:line="360" w:lineRule="auto"/>
        <w:jc w:val="both"/>
        <w:rPr>
          <w:b/>
        </w:rPr>
      </w:pPr>
      <w:r>
        <w:rPr>
          <w:b/>
        </w:rPr>
        <w:t>RESPUESTA: SÍ, PARCIALMENTE</w:t>
      </w:r>
    </w:p>
    <w:p w14:paraId="04DAB773" w14:textId="77777777" w:rsidR="006041CA" w:rsidRDefault="001271CC">
      <w:pPr>
        <w:spacing w:after="120" w:line="360" w:lineRule="auto"/>
        <w:jc w:val="both"/>
      </w:pPr>
      <w:r>
        <w:t>La respuesta a la pregunta metodológica es positiva, sin embargo, es parcial su cumplimiento, ya que si bien para el ejercicio evaluado que es el 2023 el resultado de los indicadores de gestión de responsabilidad estatal de la MIR federal del FONE sí se cumplen en su totalidad (esto tomando como un parámetro de cumplimiento de las metas de ±10%), para los otros dos periodos analizados 2021 y 2022 no se cumplen las metas Programadas.</w:t>
      </w:r>
    </w:p>
    <w:p w14:paraId="55BC6036" w14:textId="77777777" w:rsidR="006041CA" w:rsidRDefault="001271CC">
      <w:pPr>
        <w:spacing w:after="120" w:line="360" w:lineRule="auto"/>
        <w:jc w:val="both"/>
      </w:pPr>
      <w:r>
        <w:t>En el formato 5 del anexo 5 de esta evaluación se podrá identificar las metas Programas y el avance obtenido del periodo 2021-2023, de donde se emite las siguientes precisiones del resultado de los indicadores de gestión de responsabilidad estatal de la MIR federal del FONE:</w:t>
      </w:r>
    </w:p>
    <w:p w14:paraId="36C3E29E" w14:textId="77777777" w:rsidR="006041CA" w:rsidRDefault="001271CC">
      <w:pPr>
        <w:spacing w:after="120" w:line="360" w:lineRule="auto"/>
        <w:jc w:val="both"/>
      </w:pPr>
      <w:r>
        <w:rPr>
          <w:b/>
        </w:rPr>
        <w:t>Componente:</w:t>
      </w:r>
      <w:r>
        <w:t xml:space="preserve"> Servicios de Educación Básica otorgados por las Entidades Federativas.</w:t>
      </w:r>
    </w:p>
    <w:p w14:paraId="13D98990" w14:textId="77777777" w:rsidR="006041CA" w:rsidRDefault="001271CC">
      <w:pPr>
        <w:spacing w:after="120" w:line="360" w:lineRule="auto"/>
        <w:jc w:val="both"/>
        <w:rPr>
          <w:highlight w:val="yellow"/>
        </w:rPr>
      </w:pPr>
      <w:r>
        <w:rPr>
          <w:b/>
        </w:rPr>
        <w:t>Indicador 1:</w:t>
      </w:r>
      <w:r>
        <w:t xml:space="preserve"> Tasa de variación de beneficiarios atendidos en centros de trabajo federalizados del nivel primaria en la entidad federativa. Para el ejercicio fiscal 2021 se reportó un cumplimiento del 71.72%, no obstante, se definen metas negativas, por lo cual, al tener un cumplimiento menor a lo Programado y por ser de tendencia negativa se deduce que el cumplimiento es positivo, esto debido al comportamiento de cifras negativas tratando de acercarse a lo positivo. Por otro lado, en el ejercicio 2022 se reporta un cumplimiento del 2.58%, lo cual sucedió lo mismo que el ejercicio fiscal anterior, se Programaron metas negativas y la meta obtenida es una cifra más acercada a cifras positivas. Sin embargo, son resultados demasiado alejados del cumplimiento de lo Programado, por lo cual en su momento resultó una debilidad en la Programación de dichas metas. En lo referente al ejercicio fiscal evaluado 2023, el resultado del indicador es del 100%, lo cual refleja un avance en la Programación de las metas y claro está en la eficiencia y eficacia del ejercicio de los recursos con el fin de cumplir con la meta </w:t>
      </w:r>
      <w:r>
        <w:rPr>
          <w:highlight w:val="yellow"/>
        </w:rPr>
        <w:t>programada.</w:t>
      </w:r>
    </w:p>
    <w:p w14:paraId="1B7F1BB4" w14:textId="77777777" w:rsidR="006041CA" w:rsidRDefault="001271CC">
      <w:pPr>
        <w:spacing w:after="120" w:line="360" w:lineRule="auto"/>
        <w:jc w:val="both"/>
        <w:rPr>
          <w:highlight w:val="yellow"/>
        </w:rPr>
      </w:pPr>
      <w:r>
        <w:rPr>
          <w:b/>
        </w:rPr>
        <w:t>Indicador 2:</w:t>
      </w:r>
      <w:r>
        <w:t xml:space="preserve"> Tasa de variación de beneficiarios atendidos en centros de trabajo federalizados del nivel secundaria en la entidad federativa. En el ejercicio fiscal 2021 se reporta un cumplimiento del 76.78% y para el 2022 un cumplimiento del 413.69%, para estos ejercicios padecieron la misma problemática y debilidad respecto a que se definen metas negativas, cabe mencionar que al tener un cumplimiento menor a lo Programado y por ser negativa se deduce que el cumplimiento es de tendencia positiva, esto debido al comportamiento de cifras negativas tratando de acercarse a lo positivo; no obstante, los resultados reportados son demasiado alejados del cumplimiento de lo Programado, por lo cual en su momento resultó una debilidad en la Programación de dichas metas. En lo referente al ejercicio fiscal evaluado 2023, el resultado del indicador es del 100%, lo cual refleja un avance en la Programación de las metas, así como también en la eficiencia y eficacia del ejercicio de los recursos con el fin de cumplir con la meta</w:t>
      </w:r>
      <w:r>
        <w:rPr>
          <w:highlight w:val="yellow"/>
        </w:rPr>
        <w:t xml:space="preserve"> programada.</w:t>
      </w:r>
    </w:p>
    <w:p w14:paraId="76567951" w14:textId="77777777" w:rsidR="006041CA" w:rsidRDefault="001271CC">
      <w:pPr>
        <w:spacing w:after="120" w:line="360" w:lineRule="auto"/>
        <w:jc w:val="both"/>
        <w:rPr>
          <w:highlight w:val="yellow"/>
        </w:rPr>
      </w:pPr>
      <w:r>
        <w:rPr>
          <w:b/>
        </w:rPr>
        <w:t>Indicador 3:</w:t>
      </w:r>
      <w:r>
        <w:t xml:space="preserve"> Tasa de variación de beneficiarios atendidos en centros de trabajo federalizados del nivel preescolar en la entidad federativa. En el ejercicio fiscal 2021 se reporta un cumplimiento del 228.17% y para el 2022 un cumplimiento del -173.59%, para estos ejercicios padecieron la misma problemática y debilidad respecto a que se definen metas negativas, por lo cual reportan resultados demasiado alejados del cumplimiento de lo Programado, mismo que en su momento resultó una debilidad en la Programación de dichas metas. En lo referente al ejercicio fiscal evaluado 2023, el resultado del indicador es del 100%, lo cual refleja un avance en la Programación de las metas, así como también en la eficiencia y eficacia del ejercicio de los recursos con el fin de cumplir con la meta </w:t>
      </w:r>
      <w:r>
        <w:rPr>
          <w:highlight w:val="yellow"/>
        </w:rPr>
        <w:t>programada.</w:t>
      </w:r>
    </w:p>
    <w:p w14:paraId="6E7909B7" w14:textId="77777777" w:rsidR="006041CA" w:rsidRDefault="001271CC">
      <w:pPr>
        <w:spacing w:after="120" w:line="360" w:lineRule="auto"/>
        <w:jc w:val="both"/>
      </w:pPr>
      <w:r>
        <w:rPr>
          <w:b/>
        </w:rPr>
        <w:t>Actividad:</w:t>
      </w:r>
      <w:r>
        <w:t xml:space="preserve"> Atención de la Matrícula de Educación Básica en centros de trabajo federalizados en la entidad federativa.</w:t>
      </w:r>
    </w:p>
    <w:p w14:paraId="3476A3E6" w14:textId="77777777" w:rsidR="006041CA" w:rsidRDefault="001271CC">
      <w:pPr>
        <w:spacing w:after="120" w:line="360" w:lineRule="auto"/>
        <w:jc w:val="both"/>
      </w:pPr>
      <w:r>
        <w:rPr>
          <w:b/>
        </w:rPr>
        <w:t>Indicador 1:</w:t>
      </w:r>
      <w:r>
        <w:t xml:space="preserve"> Porcentaje de alumnos matriculados en educación preescolar atendidos en centros de trabajo federalizados. El resultado reportado para el ejercicio fiscal 2021 fue de 82.12% y para el 2022 80.45% identificando un incumplimiento, ya que el parámetro aceptable es del ±10% el cual no es cumplido. Para el ejercicio 2023, se reportó un cumplimiento del 105.44% el cual es aceptable.</w:t>
      </w:r>
    </w:p>
    <w:p w14:paraId="467A701E" w14:textId="77777777" w:rsidR="006041CA" w:rsidRDefault="001271CC">
      <w:pPr>
        <w:spacing w:after="120" w:line="360" w:lineRule="auto"/>
        <w:jc w:val="both"/>
      </w:pPr>
      <w:r>
        <w:rPr>
          <w:b/>
        </w:rPr>
        <w:t>Indicador 2:</w:t>
      </w:r>
      <w:r>
        <w:t xml:space="preserve"> Porcentaje de alumnos matriculados en educación primaria atendidos en centros de trabajo federalizados. Se reportó un cumplimiento del 100.69%, para el 2022 fue del 89.06% y para el 2023 fue del 97.5%, lo cual se puede concluir que el resultado obtenido es aceptable para los ejercicios 2021 y 2023, y siendo flexibles también el 2022, esto debido al cumplimiento del parámetro de ±10%. </w:t>
      </w:r>
    </w:p>
    <w:p w14:paraId="622C0643" w14:textId="77777777" w:rsidR="006041CA" w:rsidRDefault="001271CC">
      <w:pPr>
        <w:spacing w:after="120" w:line="360" w:lineRule="auto"/>
        <w:jc w:val="both"/>
      </w:pPr>
      <w:r>
        <w:rPr>
          <w:b/>
        </w:rPr>
        <w:t>Indicador 3:</w:t>
      </w:r>
      <w:r>
        <w:t xml:space="preserve"> Porcentaje de alumnos matriculados en educación secundaria atendidos en centros de trabajo federalizados. Para los ejercicios 2021 y 2022 se reportó un avance de cumplimiento de los indicadores del 75.94% y 67.73%, lo cual denota que no se cumplieron las metas </w:t>
      </w:r>
      <w:r>
        <w:rPr>
          <w:highlight w:val="yellow"/>
        </w:rPr>
        <w:t>programadas</w:t>
      </w:r>
      <w:r>
        <w:t xml:space="preserve"> para dichos ejercicios fiscales. Mientras que, para el ejercicio fiscal evaluado se reporta un cumplimiento del 97.23% lo cual de acuerdo al parámetro de ±10% el resultado es aceptable.</w:t>
      </w:r>
    </w:p>
    <w:p w14:paraId="4DF93099" w14:textId="77777777" w:rsidR="006041CA" w:rsidRDefault="001271CC">
      <w:pPr>
        <w:spacing w:after="120" w:line="360" w:lineRule="auto"/>
        <w:jc w:val="both"/>
        <w:rPr>
          <w:b/>
        </w:rPr>
      </w:pPr>
      <w:r>
        <w:rPr>
          <w:b/>
        </w:rPr>
        <w:t>Pregunta 6. ¿Los indicadores de resultado y de Componente que miden el Programa presupuestario cumplen con los criterios establecidos por el CONAC?</w:t>
      </w:r>
    </w:p>
    <w:p w14:paraId="6BCA4BE0" w14:textId="77777777" w:rsidR="006041CA" w:rsidRDefault="001271CC">
      <w:pPr>
        <w:spacing w:after="120" w:line="360" w:lineRule="auto"/>
        <w:jc w:val="both"/>
        <w:rPr>
          <w:b/>
        </w:rPr>
      </w:pPr>
      <w:r>
        <w:rPr>
          <w:b/>
        </w:rPr>
        <w:t>RESPUESTA: SÍ</w:t>
      </w:r>
    </w:p>
    <w:p w14:paraId="4ACDB89A" w14:textId="77777777" w:rsidR="006041CA" w:rsidRDefault="001271CC">
      <w:pPr>
        <w:spacing w:after="120" w:line="360" w:lineRule="auto"/>
        <w:jc w:val="both"/>
      </w:pPr>
      <w:r>
        <w:t>De acuerdo con el análisis de los criterios CREMAA plasmado en los Lineamientos para la construcción y diseño de indicadores de desempeño mediante la Metodología de Marco Lógico del Consejo Nacional de Armonización Contable (CONAC)</w:t>
      </w:r>
      <w:r>
        <w:rPr>
          <w:vertAlign w:val="superscript"/>
        </w:rPr>
        <w:footnoteReference w:id="18"/>
      </w:r>
      <w:r>
        <w:t xml:space="preserve">, están dimensionados seis elementos, que son: </w:t>
      </w:r>
    </w:p>
    <w:p w14:paraId="512FB8E5" w14:textId="77777777" w:rsidR="006041CA" w:rsidRDefault="001271CC">
      <w:pPr>
        <w:numPr>
          <w:ilvl w:val="0"/>
          <w:numId w:val="7"/>
        </w:numPr>
        <w:pBdr>
          <w:top w:val="nil"/>
          <w:left w:val="nil"/>
          <w:bottom w:val="nil"/>
          <w:right w:val="nil"/>
          <w:between w:val="nil"/>
        </w:pBdr>
        <w:spacing w:after="120" w:line="360" w:lineRule="auto"/>
        <w:jc w:val="both"/>
        <w:rPr>
          <w:color w:val="000000"/>
        </w:rPr>
      </w:pPr>
      <w:r>
        <w:rPr>
          <w:color w:val="000000"/>
        </w:rPr>
        <w:t>Claridad: que sean precisos e inequívocos, es decir, entendibles y que no den lugar a interpretaciones;</w:t>
      </w:r>
    </w:p>
    <w:p w14:paraId="2ED517F0" w14:textId="77777777" w:rsidR="006041CA" w:rsidRDefault="001271CC">
      <w:pPr>
        <w:numPr>
          <w:ilvl w:val="0"/>
          <w:numId w:val="7"/>
        </w:numPr>
        <w:pBdr>
          <w:top w:val="nil"/>
          <w:left w:val="nil"/>
          <w:bottom w:val="nil"/>
          <w:right w:val="nil"/>
          <w:between w:val="nil"/>
        </w:pBdr>
        <w:spacing w:after="120" w:line="360" w:lineRule="auto"/>
        <w:jc w:val="both"/>
        <w:rPr>
          <w:color w:val="000000"/>
        </w:rPr>
      </w:pPr>
      <w:r>
        <w:rPr>
          <w:color w:val="000000"/>
        </w:rPr>
        <w:t xml:space="preserve">Relevancia: que </w:t>
      </w:r>
      <w:r>
        <w:rPr>
          <w:highlight w:val="yellow"/>
        </w:rPr>
        <w:t>reflejan</w:t>
      </w:r>
      <w:r>
        <w:rPr>
          <w:color w:val="000000"/>
        </w:rPr>
        <w:t xml:space="preserve"> una dimensión importante de logro del objetivo, deben proveer información sobre la esencia del objetivo que se quiere medir;</w:t>
      </w:r>
    </w:p>
    <w:p w14:paraId="4004177F" w14:textId="77777777" w:rsidR="006041CA" w:rsidRDefault="001271CC">
      <w:pPr>
        <w:numPr>
          <w:ilvl w:val="0"/>
          <w:numId w:val="7"/>
        </w:numPr>
        <w:pBdr>
          <w:top w:val="nil"/>
          <w:left w:val="nil"/>
          <w:bottom w:val="nil"/>
          <w:right w:val="nil"/>
          <w:between w:val="nil"/>
        </w:pBdr>
        <w:spacing w:after="120" w:line="360" w:lineRule="auto"/>
        <w:jc w:val="both"/>
        <w:rPr>
          <w:color w:val="000000"/>
        </w:rPr>
      </w:pPr>
      <w:r>
        <w:rPr>
          <w:color w:val="000000"/>
        </w:rPr>
        <w:t>Economía: que la información que se proporcione sea necesaria para generar el indicador deberá estar disponible a un costo razonable;</w:t>
      </w:r>
    </w:p>
    <w:p w14:paraId="78063DA6" w14:textId="77777777" w:rsidR="006041CA" w:rsidRDefault="001271CC">
      <w:pPr>
        <w:numPr>
          <w:ilvl w:val="0"/>
          <w:numId w:val="7"/>
        </w:numPr>
        <w:pBdr>
          <w:top w:val="nil"/>
          <w:left w:val="nil"/>
          <w:bottom w:val="nil"/>
          <w:right w:val="nil"/>
          <w:between w:val="nil"/>
        </w:pBdr>
        <w:spacing w:after="120" w:line="360" w:lineRule="auto"/>
        <w:jc w:val="both"/>
        <w:rPr>
          <w:color w:val="000000"/>
        </w:rPr>
      </w:pPr>
      <w:r>
        <w:rPr>
          <w:color w:val="000000"/>
        </w:rPr>
        <w:t>Monitoreable: que puedan sujetarse a una verificación independiente;</w:t>
      </w:r>
    </w:p>
    <w:p w14:paraId="2277F355" w14:textId="77777777" w:rsidR="006041CA" w:rsidRDefault="001271CC">
      <w:pPr>
        <w:numPr>
          <w:ilvl w:val="0"/>
          <w:numId w:val="7"/>
        </w:numPr>
        <w:pBdr>
          <w:top w:val="nil"/>
          <w:left w:val="nil"/>
          <w:bottom w:val="nil"/>
          <w:right w:val="nil"/>
          <w:between w:val="nil"/>
        </w:pBdr>
        <w:spacing w:after="120" w:line="360" w:lineRule="auto"/>
        <w:jc w:val="both"/>
        <w:rPr>
          <w:color w:val="000000"/>
        </w:rPr>
      </w:pPr>
      <w:r>
        <w:rPr>
          <w:color w:val="000000"/>
        </w:rPr>
        <w:t>Adecuado: que aporten una base suficiente para evaluar el desempeño; y</w:t>
      </w:r>
    </w:p>
    <w:p w14:paraId="6EBEB840" w14:textId="77777777" w:rsidR="006041CA" w:rsidRDefault="001271CC">
      <w:pPr>
        <w:numPr>
          <w:ilvl w:val="0"/>
          <w:numId w:val="7"/>
        </w:numPr>
        <w:pBdr>
          <w:top w:val="nil"/>
          <w:left w:val="nil"/>
          <w:bottom w:val="nil"/>
          <w:right w:val="nil"/>
          <w:between w:val="nil"/>
        </w:pBdr>
        <w:spacing w:after="120" w:line="360" w:lineRule="auto"/>
        <w:jc w:val="both"/>
        <w:rPr>
          <w:color w:val="000000"/>
        </w:rPr>
      </w:pPr>
      <w:r>
        <w:rPr>
          <w:color w:val="000000"/>
        </w:rPr>
        <w:t>Aportación marginal: que en el caso de que exista más de un indicador para medir el desempeño en determinado nivel de objetivo, debe proveer información adicional en comparación con los otros indicadores propuestos.</w:t>
      </w:r>
    </w:p>
    <w:p w14:paraId="25AF6E2E" w14:textId="77777777" w:rsidR="006041CA" w:rsidRDefault="001271CC">
      <w:pPr>
        <w:spacing w:after="120" w:line="360" w:lineRule="auto"/>
        <w:jc w:val="both"/>
      </w:pPr>
      <w:r>
        <w:t>De lo anterior, el Programa presupuestario AE01 Educación Básica cuenta con indicadores de desempeño, los cuales se validan a través del Formato 6 (Ver anexo 5).</w:t>
      </w:r>
    </w:p>
    <w:p w14:paraId="5622A929" w14:textId="77777777" w:rsidR="006041CA" w:rsidRDefault="001271CC">
      <w:pPr>
        <w:spacing w:after="120" w:line="360" w:lineRule="auto"/>
        <w:jc w:val="both"/>
        <w:rPr>
          <w:color w:val="000000"/>
        </w:rPr>
      </w:pPr>
      <w:r>
        <w:t xml:space="preserve">El análisis de los criterios CREMAA realizado, evidencia que todos los indicadores estratégicos de resultados del Programa presupuestario financiado con recursos del FONE cumplen con los criterios emitidos por el CONAC, ya que son claros sin dejar a interpretaciones lo señalado; así como relevantes, ya que se logra medir una </w:t>
      </w:r>
      <w:r>
        <w:rPr>
          <w:color w:val="000000"/>
        </w:rPr>
        <w:t xml:space="preserve">dimensión importante de logro del objetivo; se aporta información sustancial para evaluar el desempeño por lo que cumple con el criterio de adecuado; y para el caso del objetivo a nivel de Fin, los indicadores propuestos cumplen con el criterio de aporte marginal ya que los indicadores arrojan información adicional en comparación con los otros indicadores definidos para este nivel de desempeño. </w:t>
      </w:r>
    </w:p>
    <w:p w14:paraId="0AC06A8E" w14:textId="77777777" w:rsidR="006041CA" w:rsidRDefault="001271CC">
      <w:pPr>
        <w:spacing w:after="120" w:line="360" w:lineRule="auto"/>
        <w:jc w:val="both"/>
      </w:pPr>
      <w:r>
        <w:t>De tal manera que los seis indicadores definidos a nivel de Fin del Programa, proporcionan información adicional para medir el cumplimiento del objetivo, por lo cual se cumple el criterio de Aporte Marginal. De igual manera, es posible observar que son claros, porque son entendibles y no den lugar a interpretaciones; son relevantes ya que proveen información sobre la esencia del objetivo que se quiere medir; además de cumplir con los otros criterios.</w:t>
      </w:r>
    </w:p>
    <w:p w14:paraId="12C48934" w14:textId="77777777" w:rsidR="006041CA" w:rsidRDefault="001271CC">
      <w:pPr>
        <w:spacing w:after="120" w:line="360" w:lineRule="auto"/>
        <w:jc w:val="both"/>
      </w:pPr>
      <w:r>
        <w:t>Cabe mencionar que en lo que respecta a los demás indicadores de desempeño, se visualiza que se cumplen con todos los criterios CREMAA a excepción del Aporte Marginal, ya que sólo hay un indicador en cada objetivo, por lo que este criterio no aplica.</w:t>
      </w:r>
    </w:p>
    <w:p w14:paraId="18D04B89" w14:textId="77777777" w:rsidR="006041CA" w:rsidRDefault="001271CC">
      <w:pPr>
        <w:spacing w:after="120" w:line="360" w:lineRule="auto"/>
        <w:jc w:val="both"/>
      </w:pPr>
      <w:r>
        <w:t>Referente a la pertinencia de los indicadores de resultado y de Componente del Programa presupuestario considerando las dimensiones de eficiencia, eficacia y economía, se describe lo siguiente:</w:t>
      </w:r>
    </w:p>
    <w:p w14:paraId="09EE90BA" w14:textId="77777777" w:rsidR="006041CA" w:rsidRDefault="001271CC">
      <w:pPr>
        <w:spacing w:after="120" w:line="360" w:lineRule="auto"/>
        <w:jc w:val="both"/>
      </w:pPr>
      <w:r>
        <w:t xml:space="preserve">A nivel de Fin, los seis indicadores definidos en la MIR cumplen con la dimensión de acuerdo a su nivel de desempeño, ya que todos miden la dimensión de eficacia. </w:t>
      </w:r>
    </w:p>
    <w:p w14:paraId="2032EDC3" w14:textId="77777777" w:rsidR="006041CA" w:rsidRDefault="001271CC">
      <w:pPr>
        <w:spacing w:after="120" w:line="360" w:lineRule="auto"/>
        <w:jc w:val="both"/>
      </w:pPr>
      <w:r>
        <w:t>El indicador de Propósito, también cumple con la dimensión de acuerdo a su nivel de desempeño, ya que mide la dimensión de eficacia, esto debido a que mide el alcance o extensión del servicio en términos de cuántas personas reciben el servicio en comparación con lo planificado.</w:t>
      </w:r>
    </w:p>
    <w:p w14:paraId="5CD82289" w14:textId="77777777" w:rsidR="006041CA" w:rsidRDefault="001271CC">
      <w:pPr>
        <w:spacing w:after="120" w:line="360" w:lineRule="auto"/>
        <w:jc w:val="both"/>
      </w:pPr>
      <w:r>
        <w:t>Componente 1 Porcentaje de servicios educativos de calidad en Educación Básica. Este indicador debe enfocarse a medir dimensión de calidad, ya que el indicador debe reportar la información del cómo se están brindando los servicios educativos en términos de conformidad con ciertos estándares o criterios que definen la "calidad". No obstante, la dimensión de eficacia también es válida y cumple con la información que proporciona el indicador.</w:t>
      </w:r>
    </w:p>
    <w:p w14:paraId="6AB1D3A9" w14:textId="77777777" w:rsidR="006041CA" w:rsidRDefault="001271CC">
      <w:pPr>
        <w:spacing w:after="120" w:line="360" w:lineRule="auto"/>
        <w:jc w:val="both"/>
      </w:pPr>
      <w:r>
        <w:t>Componente 2: Porcentaje de apoyos otorgados en Educación Básica. Este indicador se centra en medir la dimensión de eficacia, ya que busca la cantidad de apoyos otorgados respecto a la proporción de beneficiarios.</w:t>
      </w:r>
    </w:p>
    <w:p w14:paraId="4311D7D5" w14:textId="77777777" w:rsidR="006041CA" w:rsidRDefault="001271CC">
      <w:pPr>
        <w:spacing w:after="120" w:line="360" w:lineRule="auto"/>
        <w:jc w:val="both"/>
      </w:pPr>
      <w:r>
        <w:t xml:space="preserve">Componente 3: Porcentaje de docentes fortalecidos en Educación Básica. Este indicador debería medir la dimensión de calidad, </w:t>
      </w:r>
      <w:r>
        <w:rPr>
          <w:highlight w:val="yellow"/>
        </w:rPr>
        <w:t xml:space="preserve">ya que se centra </w:t>
      </w:r>
      <w:r>
        <w:t>en evaluar la mejora o el fortalecimiento de las competencias y habilidades de los docentes, lo que influye directamente en la calidad del servicio educativo que ofrecen; no obstante, la dimensión que mide también es válida y cumple con la información que proporciona el indicador.</w:t>
      </w:r>
    </w:p>
    <w:p w14:paraId="1E91CD43" w14:textId="77777777" w:rsidR="006041CA" w:rsidRDefault="001271CC">
      <w:pPr>
        <w:spacing w:after="120" w:line="360" w:lineRule="auto"/>
        <w:jc w:val="both"/>
      </w:pPr>
      <w:r>
        <w:t xml:space="preserve">El resto de los indicadores a nivel de Componentes miden la dimensión de eficacia, la cual es correcta de acuerdo a la redacción del indicador, así como también de la información que proporciona el resultado de los </w:t>
      </w:r>
      <w:r>
        <w:rPr>
          <w:highlight w:val="yellow"/>
        </w:rPr>
        <w:t>mismos</w:t>
      </w:r>
      <w:r>
        <w:t>.</w:t>
      </w:r>
    </w:p>
    <w:p w14:paraId="5A7C56BC" w14:textId="77777777" w:rsidR="006041CA" w:rsidRDefault="001271CC">
      <w:pPr>
        <w:spacing w:after="120" w:line="360" w:lineRule="auto"/>
        <w:jc w:val="both"/>
        <w:rPr>
          <w:b/>
        </w:rPr>
      </w:pPr>
      <w:r>
        <w:rPr>
          <w:b/>
        </w:rPr>
        <w:t>Pregunta 7. Como parte del proceso de planeación del Programa presupuestario financiado con recursos de gasto federalizado ¿Los objetivos de resultados en la MIR cumplen con el requisito de evaluabilidad en su diseño?</w:t>
      </w:r>
    </w:p>
    <w:p w14:paraId="6F184A81" w14:textId="77777777" w:rsidR="006041CA" w:rsidRDefault="001271CC">
      <w:pPr>
        <w:spacing w:after="120" w:line="360" w:lineRule="auto"/>
        <w:jc w:val="both"/>
        <w:rPr>
          <w:b/>
        </w:rPr>
      </w:pPr>
      <w:r>
        <w:rPr>
          <w:b/>
        </w:rPr>
        <w:t>RESPUESTA: SÍ</w:t>
      </w:r>
    </w:p>
    <w:p w14:paraId="11EF1966" w14:textId="77777777" w:rsidR="006041CA" w:rsidRDefault="001271CC">
      <w:pPr>
        <w:spacing w:after="120" w:line="360" w:lineRule="auto"/>
        <w:jc w:val="both"/>
      </w:pPr>
      <w:r>
        <w:t>En lo que respecta la evaluabilidad en el diseño de la MIR del Programa presupuestario, se toma en cuenta la columna de los medios de verificación, el nombre de los indicadores y el objetivo al que está vinculado, que para este análisis sólo se toma en cuenta lo objetivos a nivel de resultados (Fin y Propósito) de la MIR.</w:t>
      </w:r>
    </w:p>
    <w:p w14:paraId="1CAE0C23" w14:textId="77777777" w:rsidR="006041CA" w:rsidRDefault="001271CC">
      <w:pPr>
        <w:spacing w:after="120" w:line="360" w:lineRule="auto"/>
        <w:jc w:val="both"/>
      </w:pPr>
      <w:r>
        <w:t>Cabe mencionar que las fuentes de información se refieren a las bases de datos y de información que alimentan las variables de la fórmula que da como resultado a un indicador; y los Medios de Verificación son los sitios oficiales en donde se pone a disposición la información correspondiente al logro de metas del Programa.</w:t>
      </w:r>
    </w:p>
    <w:p w14:paraId="5C146963" w14:textId="77777777" w:rsidR="006041CA" w:rsidRDefault="001271CC">
      <w:pPr>
        <w:spacing w:after="120" w:line="360" w:lineRule="auto"/>
        <w:jc w:val="both"/>
      </w:pPr>
      <w:r>
        <w:t>La lógica horizontal se resume en los siguientes puntos</w:t>
      </w:r>
      <w:r>
        <w:rPr>
          <w:vertAlign w:val="superscript"/>
        </w:rPr>
        <w:footnoteReference w:id="19"/>
      </w:r>
      <w:r>
        <w:t>:</w:t>
      </w:r>
    </w:p>
    <w:p w14:paraId="161BF088" w14:textId="77777777" w:rsidR="006041CA" w:rsidRDefault="001271CC">
      <w:pPr>
        <w:spacing w:after="120" w:line="360" w:lineRule="auto"/>
        <w:jc w:val="both"/>
      </w:pPr>
      <w:r>
        <w:t>• Se han identificado supuestos para cada nivel del resumen narrativo.</w:t>
      </w:r>
    </w:p>
    <w:p w14:paraId="48E744A8" w14:textId="77777777" w:rsidR="006041CA" w:rsidRDefault="001271CC">
      <w:pPr>
        <w:spacing w:after="120" w:line="360" w:lineRule="auto"/>
        <w:jc w:val="both"/>
      </w:pPr>
      <w:r>
        <w:t>• Los medios de verificación identificados son los necesarios y suficientes para obtener los datos requeridos para el cálculo de los indicadores.</w:t>
      </w:r>
    </w:p>
    <w:p w14:paraId="6B41C429" w14:textId="77777777" w:rsidR="006041CA" w:rsidRDefault="001271CC">
      <w:pPr>
        <w:spacing w:after="120" w:line="360" w:lineRule="auto"/>
        <w:jc w:val="both"/>
      </w:pPr>
      <w:r>
        <w:t>• Los indicadores definidos permiten hacer un buen seguimiento de los objetivos y evaluar adecuadamente el logro de los Programas.</w:t>
      </w:r>
    </w:p>
    <w:p w14:paraId="550F3EA5" w14:textId="77777777" w:rsidR="006041CA" w:rsidRDefault="001271CC">
      <w:pPr>
        <w:spacing w:after="120" w:line="360" w:lineRule="auto"/>
        <w:jc w:val="both"/>
      </w:pPr>
      <w:r>
        <w:t>En el Formato 7 del anexo 5 de la presente evaluación se identifican los medios de verificación de las variables de los indicadores a nivel de resultados de la MIR del Programa presupuestario AE01 Educación Básica de lo cual se identifica lo siguiente:</w:t>
      </w:r>
    </w:p>
    <w:p w14:paraId="44E3338E" w14:textId="77777777" w:rsidR="006041CA" w:rsidRDefault="001271CC">
      <w:pPr>
        <w:spacing w:after="120" w:line="360" w:lineRule="auto"/>
        <w:jc w:val="both"/>
      </w:pPr>
      <w:r>
        <w:t>A nivel de Fin, se definieron seis indicadores de desempeño, en las fichas técnicas correspondientes, es posible identificar el método de cálculo, los medios de verificación para cada variable de los indicadores, la fuente de información y su ubicación, que en la mayoría de los casos corresponde a un portal de internet, sin embargo, no se especificó en el formato la "Temporalidad de su publicación", aunque generalmente estos portales federales se actualizan con reportes anuales o sexenales, es fundamental detallar esta información para evitar suposiciones.</w:t>
      </w:r>
    </w:p>
    <w:p w14:paraId="5B3DB2D7" w14:textId="77777777" w:rsidR="006041CA" w:rsidRDefault="001271CC">
      <w:pPr>
        <w:spacing w:after="120" w:line="360" w:lineRule="auto"/>
        <w:jc w:val="both"/>
      </w:pPr>
      <w:r>
        <w:t>En el caso del Propósito, se definió un solo indicador. En su ficha técnica, se identifican el método de cálculo, los medios de verificación para las variables, la fuente de información y su ubicación, también asociada a un portal de internet, al igual que en el nivel de Fin, no se especificó la "Temporalidad de su publicación" aunque el portal federal suele actualizarse con reportes anuales o sexenales, es necesario precisar esta información para garantizar claridad.</w:t>
      </w:r>
    </w:p>
    <w:p w14:paraId="6902BD4B" w14:textId="77777777" w:rsidR="006041CA" w:rsidRDefault="001271CC">
      <w:pPr>
        <w:spacing w:after="120" w:line="360" w:lineRule="auto"/>
        <w:jc w:val="both"/>
      </w:pPr>
      <w:r>
        <w:t>Finalmente, el análisis confirma el cumplimiento de la lectura horizontal, que incluye las columnas de Fuentes de Información y Medios de Verificación, Indicadores y Resumen Narrativo, esta validación facilita la identificación de la información requerida para calcular los indicadores y, en consecuencia, medir los objetivos, lo cual asegura la evaluabilidad del Programa Presupuestario.</w:t>
      </w:r>
    </w:p>
    <w:p w14:paraId="2924C242" w14:textId="77777777" w:rsidR="006041CA" w:rsidRDefault="006041CA">
      <w:pPr>
        <w:spacing w:after="120" w:line="360" w:lineRule="auto"/>
        <w:jc w:val="both"/>
      </w:pPr>
    </w:p>
    <w:p w14:paraId="023D39EB" w14:textId="77777777" w:rsidR="006041CA" w:rsidRDefault="006041CA">
      <w:pPr>
        <w:spacing w:after="120" w:line="360" w:lineRule="auto"/>
        <w:jc w:val="both"/>
      </w:pPr>
    </w:p>
    <w:p w14:paraId="01E39AFB" w14:textId="77777777" w:rsidR="006041CA" w:rsidRDefault="006041CA">
      <w:pPr>
        <w:spacing w:after="120" w:line="360" w:lineRule="auto"/>
        <w:jc w:val="both"/>
      </w:pPr>
    </w:p>
    <w:p w14:paraId="13BD41EA" w14:textId="77777777" w:rsidR="006041CA" w:rsidRDefault="006041CA">
      <w:pPr>
        <w:spacing w:after="120" w:line="360" w:lineRule="auto"/>
        <w:jc w:val="both"/>
      </w:pPr>
    </w:p>
    <w:p w14:paraId="5E96775B" w14:textId="77777777" w:rsidR="006041CA" w:rsidRDefault="006041CA">
      <w:pPr>
        <w:spacing w:after="120" w:line="360" w:lineRule="auto"/>
        <w:jc w:val="both"/>
      </w:pPr>
    </w:p>
    <w:p w14:paraId="4D6DCFF8" w14:textId="77777777" w:rsidR="006041CA" w:rsidRDefault="006041CA">
      <w:pPr>
        <w:spacing w:after="120" w:line="360" w:lineRule="auto"/>
        <w:jc w:val="both"/>
      </w:pPr>
    </w:p>
    <w:p w14:paraId="08D032AA" w14:textId="77777777" w:rsidR="006041CA" w:rsidRDefault="006041CA">
      <w:pPr>
        <w:spacing w:after="120" w:line="360" w:lineRule="auto"/>
      </w:pPr>
    </w:p>
    <w:p w14:paraId="363467DE" w14:textId="77777777" w:rsidR="006041CA" w:rsidRDefault="006041CA">
      <w:pPr>
        <w:spacing w:after="120" w:line="360" w:lineRule="auto"/>
      </w:pPr>
    </w:p>
    <w:p w14:paraId="13818DC3" w14:textId="77777777" w:rsidR="006041CA" w:rsidRDefault="006041CA">
      <w:pPr>
        <w:spacing w:after="120" w:line="360" w:lineRule="auto"/>
      </w:pPr>
    </w:p>
    <w:p w14:paraId="6C282AB5" w14:textId="77777777" w:rsidR="006041CA" w:rsidRDefault="006041CA">
      <w:pPr>
        <w:spacing w:after="120" w:line="360" w:lineRule="auto"/>
      </w:pPr>
    </w:p>
    <w:p w14:paraId="5BFB5CC9" w14:textId="77777777" w:rsidR="006041CA" w:rsidRDefault="006041CA">
      <w:pPr>
        <w:spacing w:after="120" w:line="360" w:lineRule="auto"/>
      </w:pPr>
    </w:p>
    <w:p w14:paraId="55236EC0" w14:textId="77777777" w:rsidR="006041CA" w:rsidRDefault="006041CA">
      <w:pPr>
        <w:spacing w:after="120" w:line="360" w:lineRule="auto"/>
      </w:pPr>
    </w:p>
    <w:p w14:paraId="4B5C8C86" w14:textId="77777777" w:rsidR="006041CA" w:rsidRDefault="006041CA">
      <w:pPr>
        <w:spacing w:after="120" w:line="360" w:lineRule="auto"/>
      </w:pPr>
    </w:p>
    <w:p w14:paraId="3887C32D" w14:textId="77777777" w:rsidR="006041CA" w:rsidRDefault="001271CC">
      <w:pPr>
        <w:spacing w:after="120" w:line="360" w:lineRule="auto"/>
      </w:pPr>
      <w:r>
        <w:br w:type="page"/>
      </w:r>
    </w:p>
    <w:p w14:paraId="4B576EA9"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743D3703"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6B746453"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6B39B644" w14:textId="77777777" w:rsidR="006041CA" w:rsidRDefault="006041CA">
      <w:pPr>
        <w:pStyle w:val="Ttulo1"/>
        <w:spacing w:before="0" w:after="120" w:line="360" w:lineRule="auto"/>
        <w:rPr>
          <w:rFonts w:ascii="Calibri" w:eastAsia="Calibri" w:hAnsi="Calibri" w:cs="Calibri"/>
          <w:b/>
          <w:color w:val="000000"/>
          <w:sz w:val="52"/>
          <w:szCs w:val="52"/>
        </w:rPr>
      </w:pPr>
    </w:p>
    <w:p w14:paraId="2012411F"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775903D2" w14:textId="77777777" w:rsidR="006041CA" w:rsidRDefault="001271CC">
      <w:pPr>
        <w:pStyle w:val="Ttulo1"/>
        <w:spacing w:before="0" w:after="120" w:line="360" w:lineRule="auto"/>
        <w:jc w:val="center"/>
        <w:rPr>
          <w:rFonts w:ascii="Calibri" w:eastAsia="Calibri" w:hAnsi="Calibri" w:cs="Calibri"/>
          <w:b/>
          <w:color w:val="660033"/>
          <w:sz w:val="52"/>
          <w:szCs w:val="52"/>
        </w:rPr>
      </w:pPr>
      <w:bookmarkStart w:id="2" w:name="_heading=h.30j0zll" w:colFirst="0" w:colLast="0"/>
      <w:bookmarkEnd w:id="2"/>
      <w:r>
        <w:rPr>
          <w:rFonts w:ascii="Calibri" w:eastAsia="Calibri" w:hAnsi="Calibri" w:cs="Calibri"/>
          <w:b/>
          <w:color w:val="660033"/>
          <w:sz w:val="52"/>
          <w:szCs w:val="52"/>
        </w:rPr>
        <w:t>Tema II. Productos</w:t>
      </w:r>
    </w:p>
    <w:p w14:paraId="2CF48D05" w14:textId="77777777" w:rsidR="006041CA" w:rsidRDefault="001271CC">
      <w:pPr>
        <w:spacing w:after="120" w:line="360" w:lineRule="auto"/>
        <w:rPr>
          <w:b/>
          <w:color w:val="000000"/>
        </w:rPr>
      </w:pPr>
      <w:r>
        <w:br w:type="page"/>
      </w:r>
    </w:p>
    <w:p w14:paraId="3CD2CADD" w14:textId="77777777" w:rsidR="006041CA" w:rsidRDefault="001271CC">
      <w:pPr>
        <w:spacing w:after="120" w:line="360" w:lineRule="auto"/>
        <w:jc w:val="both"/>
        <w:rPr>
          <w:b/>
        </w:rPr>
      </w:pPr>
      <w:r>
        <w:rPr>
          <w:b/>
        </w:rPr>
        <w:t>Pregunta 8. ¿El conjunto de indicadores de Componente asociados con la aplicación del recurso del gasto federalizado incluidos en la MIR del Programa presupuestario que se evalúa, permiten generar información del desempeño de las dimensiones de eficiencia y calidad?</w:t>
      </w:r>
    </w:p>
    <w:p w14:paraId="7DBD5626" w14:textId="77777777" w:rsidR="006041CA" w:rsidRDefault="001271CC">
      <w:pPr>
        <w:spacing w:after="120" w:line="360" w:lineRule="auto"/>
        <w:jc w:val="both"/>
        <w:rPr>
          <w:b/>
        </w:rPr>
      </w:pPr>
      <w:r>
        <w:rPr>
          <w:b/>
        </w:rPr>
        <w:t>RESPUESTA: NO</w:t>
      </w:r>
    </w:p>
    <w:p w14:paraId="639EF626" w14:textId="77777777" w:rsidR="006041CA" w:rsidRDefault="001271CC">
      <w:pPr>
        <w:spacing w:after="120" w:line="360" w:lineRule="auto"/>
        <w:jc w:val="both"/>
      </w:pPr>
      <w:r>
        <w:t>De acuerdo a la información de gabinete proporcionada, en la MIR del Programa presupuestario AE01 Educación Básica</w:t>
      </w:r>
      <w:r>
        <w:rPr>
          <w:vertAlign w:val="superscript"/>
        </w:rPr>
        <w:footnoteReference w:id="20"/>
      </w:r>
      <w:r>
        <w:t xml:space="preserve"> se definen los indicadores para cada uno de los Componentes que entrega el Pp, de lo cual es posible identificar el factor relevante del objetivo que se busca medir, así como también la dimensión que mide dichos indicadores (ver formato 8 del anexo 5), donde se define que todos los indicadores a nivel de Componente miden la eficacia. Por lo que en estricto apego a los Términos de Referencia de la presente evaluación la respuesta es negativa.</w:t>
      </w:r>
    </w:p>
    <w:p w14:paraId="645603DE" w14:textId="77777777" w:rsidR="006041CA" w:rsidRDefault="001271CC">
      <w:pPr>
        <w:spacing w:after="120" w:line="360" w:lineRule="auto"/>
        <w:jc w:val="both"/>
      </w:pPr>
      <w:r>
        <w:t>Cabe mencionar que de acuerdo a lo señalado en los LINEAMIENTOS</w:t>
      </w:r>
      <w:r>
        <w:rPr>
          <w:vertAlign w:val="superscript"/>
        </w:rPr>
        <w:footnoteReference w:id="21"/>
      </w:r>
      <w:r>
        <w:t>, en el artículo SEXTO se describe lo siguiente:</w:t>
      </w:r>
    </w:p>
    <w:p w14:paraId="52DF4359" w14:textId="77777777" w:rsidR="006041CA" w:rsidRDefault="001271CC">
      <w:pPr>
        <w:spacing w:after="120" w:line="360" w:lineRule="auto"/>
        <w:jc w:val="both"/>
        <w:rPr>
          <w:i/>
        </w:rPr>
      </w:pPr>
      <w:r>
        <w:rPr>
          <w:i/>
        </w:rPr>
        <w:t>Los indicadores deberán considerar alguna de las siguientes dimensiones:</w:t>
      </w:r>
    </w:p>
    <w:p w14:paraId="5A279628" w14:textId="77777777" w:rsidR="006041CA" w:rsidRDefault="001271CC">
      <w:pPr>
        <w:spacing w:after="120" w:line="360" w:lineRule="auto"/>
        <w:jc w:val="both"/>
        <w:rPr>
          <w:i/>
        </w:rPr>
      </w:pPr>
      <w:r>
        <w:rPr>
          <w:i/>
        </w:rPr>
        <w:t>a) Eficacia: mide el grado de cumplimiento de los objetivos;</w:t>
      </w:r>
    </w:p>
    <w:p w14:paraId="3BB85ACB" w14:textId="77777777" w:rsidR="006041CA" w:rsidRDefault="001271CC">
      <w:pPr>
        <w:spacing w:after="120" w:line="360" w:lineRule="auto"/>
        <w:jc w:val="both"/>
        <w:rPr>
          <w:i/>
        </w:rPr>
      </w:pPr>
      <w:r>
        <w:rPr>
          <w:i/>
        </w:rPr>
        <w:t>b) Eficiencia: mide la relación entre los productos y servicios generados con respecto a los insumos o</w:t>
      </w:r>
    </w:p>
    <w:p w14:paraId="2A7FE48E" w14:textId="77777777" w:rsidR="006041CA" w:rsidRDefault="001271CC">
      <w:pPr>
        <w:spacing w:after="120" w:line="360" w:lineRule="auto"/>
        <w:jc w:val="both"/>
        <w:rPr>
          <w:i/>
        </w:rPr>
      </w:pPr>
      <w:r>
        <w:rPr>
          <w:i/>
        </w:rPr>
        <w:t>recursos utilizados;</w:t>
      </w:r>
    </w:p>
    <w:p w14:paraId="076FE804" w14:textId="77777777" w:rsidR="006041CA" w:rsidRDefault="001271CC">
      <w:pPr>
        <w:spacing w:after="120" w:line="360" w:lineRule="auto"/>
        <w:jc w:val="both"/>
        <w:rPr>
          <w:i/>
        </w:rPr>
      </w:pPr>
      <w:r>
        <w:rPr>
          <w:i/>
        </w:rPr>
        <w:t>c) Economía: mide la capacidad para generar y movilizar adecuadamente los recursos financieros, y;</w:t>
      </w:r>
    </w:p>
    <w:p w14:paraId="6B249F6B" w14:textId="77777777" w:rsidR="006041CA" w:rsidRDefault="001271CC">
      <w:pPr>
        <w:spacing w:after="120" w:line="360" w:lineRule="auto"/>
        <w:jc w:val="both"/>
        <w:rPr>
          <w:i/>
        </w:rPr>
      </w:pPr>
      <w:r>
        <w:rPr>
          <w:i/>
        </w:rPr>
        <w:t>d) Calidad: mide los atributos, propiedades o características que deben tener los bienes y servicios para</w:t>
      </w:r>
    </w:p>
    <w:p w14:paraId="7704AE06" w14:textId="77777777" w:rsidR="006041CA" w:rsidRDefault="001271CC">
      <w:pPr>
        <w:spacing w:after="120" w:line="360" w:lineRule="auto"/>
        <w:jc w:val="both"/>
        <w:rPr>
          <w:i/>
        </w:rPr>
      </w:pPr>
      <w:r>
        <w:rPr>
          <w:i/>
        </w:rPr>
        <w:t>satisfacer los objetivos del Programa.</w:t>
      </w:r>
    </w:p>
    <w:p w14:paraId="09951A96" w14:textId="77777777" w:rsidR="006041CA" w:rsidRDefault="001271CC">
      <w:pPr>
        <w:spacing w:after="120" w:line="360" w:lineRule="auto"/>
        <w:jc w:val="both"/>
      </w:pPr>
      <w:r>
        <w:t>Donde no se estipula claramente qué dimensión debe medirse de acuerdo a cada nivel de desempeño de la MIR, por lo que, de acuerdo a estos lineamientos la información señalada en la MIR del Programa presupuestario sí cumple al definir una dimensión a medir.</w:t>
      </w:r>
    </w:p>
    <w:p w14:paraId="3829B074" w14:textId="77777777" w:rsidR="006041CA" w:rsidRDefault="001271CC">
      <w:pPr>
        <w:spacing w:after="120" w:line="360" w:lineRule="auto"/>
        <w:jc w:val="both"/>
      </w:pPr>
      <w:r>
        <w:t>Por otro lado, en la Guía para el diseño de la Matriz de Indicadores para Resultados</w:t>
      </w:r>
      <w:r>
        <w:rPr>
          <w:vertAlign w:val="superscript"/>
        </w:rPr>
        <w:footnoteReference w:id="22"/>
      </w:r>
      <w:r>
        <w:t xml:space="preserve"> se describe que:</w:t>
      </w:r>
    </w:p>
    <w:p w14:paraId="32632251" w14:textId="77777777" w:rsidR="006041CA" w:rsidRDefault="001271CC">
      <w:pPr>
        <w:spacing w:after="120" w:line="360" w:lineRule="auto"/>
        <w:jc w:val="both"/>
      </w:pPr>
      <w:r>
        <w:rPr>
          <w:noProof/>
        </w:rPr>
        <w:drawing>
          <wp:inline distT="0" distB="0" distL="0" distR="0" wp14:anchorId="650226C9" wp14:editId="1E96CCDB">
            <wp:extent cx="6332220" cy="3207385"/>
            <wp:effectExtent l="0" t="0" r="0" b="0"/>
            <wp:docPr id="2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6332220" cy="3207385"/>
                    </a:xfrm>
                    <a:prstGeom prst="rect">
                      <a:avLst/>
                    </a:prstGeom>
                    <a:ln/>
                  </pic:spPr>
                </pic:pic>
              </a:graphicData>
            </a:graphic>
          </wp:inline>
        </w:drawing>
      </w:r>
    </w:p>
    <w:p w14:paraId="20283E8A" w14:textId="77777777" w:rsidR="006041CA" w:rsidRDefault="001271CC">
      <w:pPr>
        <w:spacing w:after="120" w:line="360" w:lineRule="auto"/>
        <w:jc w:val="both"/>
      </w:pPr>
      <w:r>
        <w:rPr>
          <w:i/>
        </w:rPr>
        <w:t>…no significa que cada Pp esté obligado a registrar indicadores para todas las dimensiones descritas; se recomienda que un Pp contenga, al menos, indicadores de eficacia para cada uno de los niveles de la MIR, de tal manera que se asegure la valoración de los resultados alcanzados, de conformidad con la lógica vertical que entraña la MIR.</w:t>
      </w:r>
      <w:r>
        <w:rPr>
          <w:i/>
        </w:rPr>
        <w:br/>
      </w:r>
      <w:r>
        <w:t>De lo anterior es posible concluir que sí se cumple con la metodología, ya que en la imagen se muestra que la dimensión de eficacia también corresponde al nivel de Componente, además de que cada Pp no está obligado a registrar indicadores para todas las dimensiones descritas, por lo que al definir claramente en la MIR qué dimensión mide cada indicador se cumple con lo señalado en la metodología y con lo solicitado en los LINEAMIENTOS de acuerdo a la definición de la Ficha Técnica de Indicadores.</w:t>
      </w:r>
    </w:p>
    <w:p w14:paraId="42F4080D" w14:textId="77777777" w:rsidR="006041CA" w:rsidRDefault="001271CC">
      <w:pPr>
        <w:spacing w:after="120" w:line="360" w:lineRule="auto"/>
        <w:jc w:val="both"/>
      </w:pPr>
      <w:r>
        <w:t xml:space="preserve"> </w:t>
      </w:r>
      <w:r>
        <w:br w:type="page"/>
      </w:r>
    </w:p>
    <w:p w14:paraId="26E5C559" w14:textId="77777777" w:rsidR="006041CA" w:rsidRDefault="001271CC">
      <w:pPr>
        <w:spacing w:after="120" w:line="360" w:lineRule="auto"/>
        <w:jc w:val="both"/>
        <w:rPr>
          <w:b/>
        </w:rPr>
      </w:pPr>
      <w:r>
        <w:rPr>
          <w:b/>
        </w:rPr>
        <w:t>Pregunta 9. ¿Cuál es el comportamiento de las metas en el período 2021-2023 de los indicadores a nivel de Componente del Programa estatal que se evalúa, financiado con recursos de gasto federalizado?</w:t>
      </w:r>
    </w:p>
    <w:p w14:paraId="57D0AD04" w14:textId="77777777" w:rsidR="006041CA" w:rsidRDefault="001271CC">
      <w:pPr>
        <w:spacing w:after="120" w:line="360" w:lineRule="auto"/>
        <w:jc w:val="both"/>
        <w:rPr>
          <w:b/>
        </w:rPr>
      </w:pPr>
      <w:r>
        <w:rPr>
          <w:b/>
        </w:rPr>
        <w:t>RESPUESTA:</w:t>
      </w:r>
    </w:p>
    <w:p w14:paraId="7B8A4971" w14:textId="77777777" w:rsidR="006041CA" w:rsidRDefault="001271CC">
      <w:pPr>
        <w:spacing w:after="120" w:line="360" w:lineRule="auto"/>
        <w:jc w:val="both"/>
      </w:pPr>
      <w:r>
        <w:t>De acuerdo a la MIR del Programa presupuestario</w:t>
      </w:r>
      <w:r>
        <w:rPr>
          <w:vertAlign w:val="superscript"/>
        </w:rPr>
        <w:footnoteReference w:id="23"/>
      </w:r>
      <w:r>
        <w:t xml:space="preserve"> de los ejercicios 2021-2023 es posible concluir que el comportamiento de los resultados de los indicadores a nivel de Componente es positivo, esto de acuerdo a lo siguiente:</w:t>
      </w:r>
    </w:p>
    <w:p w14:paraId="03306FD6" w14:textId="77777777" w:rsidR="006041CA" w:rsidRDefault="001271CC">
      <w:pPr>
        <w:spacing w:after="120" w:line="360" w:lineRule="auto"/>
        <w:jc w:val="both"/>
      </w:pPr>
      <w:r>
        <w:t>Para el análisis, únicamente se consideraron los indicadores de la MIR correspondiente al ejercicio fiscal 2023, ya que este es el periodo evaluado. Esto se debe a que en las MIR de los ejercicios 2021 y 2022 se definieron 10 Componentes, de los cuales dos indicadores no cuentan con información disponible para 2023. (Ver formato 9 del anexo 5)</w:t>
      </w:r>
    </w:p>
    <w:p w14:paraId="743F1AEA" w14:textId="77777777" w:rsidR="006041CA" w:rsidRDefault="001271CC">
      <w:pPr>
        <w:spacing w:after="120" w:line="360" w:lineRule="auto"/>
        <w:jc w:val="both"/>
      </w:pPr>
      <w:r>
        <w:rPr>
          <w:b/>
        </w:rPr>
        <w:t>Componente 1:</w:t>
      </w:r>
      <w:r>
        <w:t xml:space="preserve"> Servicios educativos de calidad en Educación Básica proporcionados: “Porcentaje de servicios educativos de calidad en Educación Básica”, en el indicador es posible identificar el factor relevante del objetivo, respecto al juicio del valor de la meta Programada es posible validar su pertinencia ya que se refiere a la población en cursar dicho nivel educativo; por otro lado, es posible observar que para el 2023 se reporta un cumplimiento del 100%, lo que propicia una variación porcentual en el período 2021-2023 del .94%, esto en comparación con el porcentaje del cumplimiento del 2021 que fue de 99.07%, por lo tanto la variación es positiva.</w:t>
      </w:r>
    </w:p>
    <w:p w14:paraId="33F8695D" w14:textId="77777777" w:rsidR="006041CA" w:rsidRDefault="001271CC">
      <w:pPr>
        <w:spacing w:after="120" w:line="360" w:lineRule="auto"/>
        <w:jc w:val="both"/>
        <w:rPr>
          <w:highlight w:val="yellow"/>
        </w:rPr>
      </w:pPr>
      <w:r>
        <w:rPr>
          <w:b/>
        </w:rPr>
        <w:t>Componente 2:</w:t>
      </w:r>
      <w:r>
        <w:t xml:space="preserve"> Apoyos técnico pedagógicos del nivel de Educación Básica otorgados: “Porcentaje de apoyos otorgados en Educación Básica”, en el indicador no se señala completamente el factor relevante del objetivo, sin embargo, sí se tiene claro lo que se quiere medir del objetivo por lo cual la definición del indicador es clara; por otro lado, se reporta un porcentaje de cumplimiento del 100% para el 2023, y una variación porcentual respecto al 2021 del -1.18%, ya que para el 2021 se reportó un cumplimiento </w:t>
      </w:r>
      <w:r>
        <w:rPr>
          <w:highlight w:val="yellow"/>
        </w:rPr>
        <w:t>del</w:t>
      </w:r>
      <w:r>
        <w:t xml:space="preserve"> 101.19% esto debido a que se entregaron materiales adicionales en dicho ejercicio fiscal. No obstante, el comportamiento del indicador es aceptable ya que para el 2022 se reporta un cumplimiento del 98.03% y para el ejercicio fiscal evaluado se incrementó.</w:t>
      </w:r>
    </w:p>
    <w:p w14:paraId="5BEEE3FC" w14:textId="77777777" w:rsidR="006041CA" w:rsidRDefault="001271CC">
      <w:pPr>
        <w:spacing w:after="120" w:line="360" w:lineRule="auto"/>
        <w:jc w:val="both"/>
      </w:pPr>
      <w:r>
        <w:rPr>
          <w:b/>
        </w:rPr>
        <w:t>Componente 3:</w:t>
      </w:r>
      <w:r>
        <w:t xml:space="preserve"> Docentes de Educación Básica fortalecidos: “Porcentaje de docentes fortalecidos en Educación Básica”, en este indicador se identifica el factor relevante del objetivo, respecto al juicio del valor de la meta Programada es posible validar su pertinencia ya que se toman en cuenta los docentes que solicitan ser fortalecidos; respecto a esta información es posible verificar que se ha incrementado el resultado obtenido, ya que para el 2021 se reporta un cumplimiento del 90.16%, para el 2022 el 97.99% y para el ejercicio 2023 el 100%, lo cual denota una variación porcentual en el período 2021-2023 del 1091%.</w:t>
      </w:r>
    </w:p>
    <w:p w14:paraId="76AD1428" w14:textId="77777777" w:rsidR="006041CA" w:rsidRDefault="001271CC">
      <w:pPr>
        <w:spacing w:after="120" w:line="360" w:lineRule="auto"/>
        <w:jc w:val="both"/>
      </w:pPr>
      <w:r>
        <w:rPr>
          <w:b/>
        </w:rPr>
        <w:t>Componente 4:</w:t>
      </w:r>
      <w:r>
        <w:t xml:space="preserve"> Grupos de participación social del sector educativo integrados: “Porcentaje de grupos de participación social integrados al quehacer educativo”, este indicador muestra claramente el factor relevante del objetivo, respecto al juicio del valor de la meta Programada es posible validar su pertinencia ya que miden los grupos de participación social en Educación Básica integrados al quehacer educativo; cabe mencionar que para el 2021 no se reportó algún cumplimiento de avance del indicador, mientras que para el 2022 y para 2023 se reporta el 100% de cumplimiento. </w:t>
      </w:r>
    </w:p>
    <w:p w14:paraId="68EB4C06" w14:textId="77777777" w:rsidR="006041CA" w:rsidRDefault="001271CC">
      <w:pPr>
        <w:spacing w:after="120" w:line="360" w:lineRule="auto"/>
        <w:jc w:val="both"/>
      </w:pPr>
      <w:r>
        <w:rPr>
          <w:b/>
        </w:rPr>
        <w:t>Componente 5:</w:t>
      </w:r>
      <w:r>
        <w:t xml:space="preserve"> Mantenimiento en escuelas de Educación Básica realizado: “Porcentaje de mantenimiento preventivo realizado en escuelas de Educación Básica”, este indicador muestra claramente el factor relevante del objetivo, respecto al juicio del valor de la meta Programada es posible validar su pertinencia ya que miden la escuelas de Educación Básica con acciones de manteamiento; cabe mencionar que para el 2021 no se reportó algún cumplimiento de avance del indicador, mientras que para el 2022 y para 2023 se reporta el 100% de cumplimiento. </w:t>
      </w:r>
    </w:p>
    <w:p w14:paraId="25D06802" w14:textId="77777777" w:rsidR="006041CA" w:rsidRDefault="001271CC">
      <w:pPr>
        <w:spacing w:after="120" w:line="360" w:lineRule="auto"/>
        <w:jc w:val="both"/>
      </w:pPr>
      <w:r>
        <w:rPr>
          <w:b/>
        </w:rPr>
        <w:t>Componente 6:</w:t>
      </w:r>
      <w:r>
        <w:t xml:space="preserve"> Servicios de Educación Básica difundidos: “Porcentaje de servicios promovidos en Educación Básica”, en este indicador se identifica el factor relevante del objetivo, respecto al juicio del valor de la meta Programada es posible validar su pertinencia ya que se toman en cuenta las campañas de difusión de los servicios educativos; respecto a esta información es posible verificar que se ha incrementado el resultado obtenido, ya que para el 2021 se reporta un cumplimiento del 84.62% y para los ejercicio 2022 y 2023 se cumplió al 100%, lo que demuestra una variación del 18.18% del periodo 2021-2023.</w:t>
      </w:r>
    </w:p>
    <w:p w14:paraId="4732E8CC" w14:textId="77777777" w:rsidR="006041CA" w:rsidRDefault="001271CC">
      <w:pPr>
        <w:spacing w:after="120" w:line="360" w:lineRule="auto"/>
        <w:jc w:val="both"/>
      </w:pPr>
      <w:r>
        <w:rPr>
          <w:b/>
        </w:rPr>
        <w:t>Componente 7:</w:t>
      </w:r>
      <w:r>
        <w:t xml:space="preserve"> Procesos de planeación educativa de la Secretaría de Educación realizados: “Porcentaje de procesos de planeación educativa realizados”, en este indicador se identifica el factor relevante del objetivo, respecto al juicio del valor de la meta Programada es posible validar su pertinencia ya que se toman en cuenta los procesos de planeación en la entidad respecto a la Educación Básica; respecto a los resultados obtenidos durante el periodo del 2021-2023 se reporta el 100% para cada uno de los ejercicios fiscales, por lo que no se presenta una variación del cumplimiento.</w:t>
      </w:r>
    </w:p>
    <w:p w14:paraId="0719AC4F" w14:textId="77777777" w:rsidR="006041CA" w:rsidRDefault="001271CC">
      <w:pPr>
        <w:spacing w:after="120" w:line="360" w:lineRule="auto"/>
        <w:jc w:val="both"/>
      </w:pPr>
      <w:r>
        <w:rPr>
          <w:b/>
        </w:rPr>
        <w:t>Componente 8:</w:t>
      </w:r>
      <w:r>
        <w:t xml:space="preserve"> Alumnos de educación primaria de excelencia académica incentivados: “Porcentaje de alumnos de educación primaria incentivados por su excelencia académica”, en este indicador se identifica el factor relevante del objetivo, respecto al juicio del valor de la meta Programada es posible validar su pertinencia ya que se a los alumnos de excelencia que son apoyados a nivel primaria; respecto a los resultados obtenidos durante el periodo del 2021-2023 se reporta el 100% para cada uno de los ejercicios fiscales, por lo que no se presenta una variación del cumplimiento.</w:t>
      </w:r>
    </w:p>
    <w:p w14:paraId="7EF41023" w14:textId="77777777" w:rsidR="006041CA" w:rsidRDefault="001271CC">
      <w:pPr>
        <w:spacing w:after="120" w:line="360" w:lineRule="auto"/>
        <w:jc w:val="both"/>
      </w:pPr>
      <w:r>
        <w:t xml:space="preserve">De lo anterior, es posible concluir que los resultados de los indicadores a nivel de Componente han tenido tendencia positiva además de que para el ejercicio evaluado se reportó un cumplimiento del 100% para todos los indicadores definidos en la MIR; además, es posible definir que el juicio de valor de las metas Programadas es aceptable y que contribuyen a la medición del factor relevante del objetivo de cada Componente. </w:t>
      </w:r>
    </w:p>
    <w:p w14:paraId="741C0CD1" w14:textId="77777777" w:rsidR="006041CA" w:rsidRDefault="006041CA">
      <w:pPr>
        <w:spacing w:after="120" w:line="360" w:lineRule="auto"/>
        <w:jc w:val="both"/>
      </w:pPr>
    </w:p>
    <w:p w14:paraId="7324A2BC" w14:textId="77777777" w:rsidR="006041CA" w:rsidRDefault="006041CA">
      <w:pPr>
        <w:spacing w:after="120" w:line="360" w:lineRule="auto"/>
        <w:jc w:val="both"/>
      </w:pPr>
    </w:p>
    <w:p w14:paraId="5F840D64" w14:textId="77777777" w:rsidR="006041CA" w:rsidRDefault="001271CC">
      <w:pPr>
        <w:spacing w:after="120" w:line="360" w:lineRule="auto"/>
      </w:pPr>
      <w:r>
        <w:br w:type="page"/>
      </w:r>
    </w:p>
    <w:p w14:paraId="6802A259" w14:textId="77777777" w:rsidR="006041CA" w:rsidRDefault="001271CC">
      <w:pPr>
        <w:spacing w:after="120" w:line="360" w:lineRule="auto"/>
        <w:jc w:val="both"/>
        <w:rPr>
          <w:b/>
        </w:rPr>
      </w:pPr>
      <w:r>
        <w:rPr>
          <w:b/>
        </w:rPr>
        <w:t>Pregunta 10. ¿Es posible identificar con precisión los medios de verificación de donde se obtienen los valores de las variables con los que se calculan los indicadores a nivel de Componente reportados en el SRFT, así como en el sistema estatal en donde se encuentra la MIR del Programa presupuestario asociado con el recurso del gasto federalizado que se evalúa?</w:t>
      </w:r>
    </w:p>
    <w:p w14:paraId="481B152F" w14:textId="77777777" w:rsidR="006041CA" w:rsidRDefault="001271CC">
      <w:pPr>
        <w:spacing w:after="120" w:line="360" w:lineRule="auto"/>
        <w:jc w:val="both"/>
        <w:rPr>
          <w:b/>
        </w:rPr>
      </w:pPr>
      <w:r>
        <w:rPr>
          <w:b/>
        </w:rPr>
        <w:t>RESPUESTA: SÍ PARCIALMENTE</w:t>
      </w:r>
    </w:p>
    <w:p w14:paraId="520898A5" w14:textId="77777777" w:rsidR="006041CA" w:rsidRDefault="001271CC">
      <w:pPr>
        <w:spacing w:after="120" w:line="360" w:lineRule="auto"/>
        <w:jc w:val="both"/>
      </w:pPr>
      <w:r>
        <w:t>El analizar los medios de verificación a nivel de Componentes de la MIR del Programa presupuestario, así como de la MIR federal del FONE que se reporta al SRFT conlleva el validar la lógica horizontal la cual se requiere para la evaluabilidad en el diseño de las MIR, dicho análisis refiere la relación entre el objetivo, el indicador, y los medios de verificación y fuentes de información, esto con la finalidad de obtener los datos requeridos para calcular los indicadores, y que los resultados sean transparentes.</w:t>
      </w:r>
    </w:p>
    <w:p w14:paraId="2ED4D359" w14:textId="77777777" w:rsidR="006041CA" w:rsidRDefault="001271CC">
      <w:pPr>
        <w:spacing w:after="120" w:line="360" w:lineRule="auto"/>
        <w:jc w:val="both"/>
      </w:pPr>
      <w:r>
        <w:t>Cabe mencionar que las fuentes de información se refieren a las bases de datos y de información que alimentan las variables de la fórmula que da como resultado a un indicador; y los Medios de Verificación son los sitios oficiales en donde se pone a disposición la información correspondiente al logro de metas.</w:t>
      </w:r>
    </w:p>
    <w:p w14:paraId="35BCDC44" w14:textId="77777777" w:rsidR="006041CA" w:rsidRDefault="001271CC">
      <w:pPr>
        <w:spacing w:after="120" w:line="360" w:lineRule="auto"/>
        <w:jc w:val="both"/>
      </w:pPr>
      <w:r>
        <w:t>De lo anterior y para validar la lógica horizontal de la MIR del Programa presupuestario de Educación Básica financiado con recursos del FONE, fue analizada la relación de los medios de verificación necesarios para alimentar de información las variables de los indicadores, con la finalidad de verificar si con esa información es posible realizar su cálculo, y si estos indicadores permiten medir de manera directa o indirectamente la contribución de los objetivos. En el Formato 10 (Ver Anexo 5) se enlistan los indicadores con los métodos de cálculo, y los medios de verificación para cada variable de los indicadores, de lo cual se identifica lo siguiente:</w:t>
      </w:r>
    </w:p>
    <w:p w14:paraId="295AFBDD" w14:textId="77777777" w:rsidR="006041CA" w:rsidRDefault="001271CC">
      <w:pPr>
        <w:spacing w:after="120" w:line="360" w:lineRule="auto"/>
        <w:jc w:val="both"/>
      </w:pPr>
      <w:r>
        <w:t>En lo que respecta a la MIR federal del Fondo, no es posible identificar los medios de verificación ni fuentes de identificación de los indicadores de Componentes y Actividades que son de responsabilidad del estado, por lo que en el formato se llenan dichas casillas con la leyenda de “Sin Referencia”.</w:t>
      </w:r>
    </w:p>
    <w:p w14:paraId="227D1AFD" w14:textId="77777777" w:rsidR="006041CA" w:rsidRDefault="001271CC">
      <w:pPr>
        <w:spacing w:after="120" w:line="360" w:lineRule="auto"/>
        <w:jc w:val="both"/>
      </w:pPr>
      <w:r>
        <w:t xml:space="preserve">Por otro lado, en la MIR del Programa presupuestario AE01 Educación Básica se logran identificar el método de cálculo para cada indicador a nivel de Componente, así como también los medios de verificación y fuentes de información de cada una de las variables definidas. </w:t>
      </w:r>
    </w:p>
    <w:p w14:paraId="34811D40" w14:textId="77777777" w:rsidR="006041CA" w:rsidRDefault="001271CC">
      <w:pPr>
        <w:numPr>
          <w:ilvl w:val="0"/>
          <w:numId w:val="8"/>
        </w:numPr>
        <w:pBdr>
          <w:top w:val="nil"/>
          <w:left w:val="nil"/>
          <w:bottom w:val="nil"/>
          <w:right w:val="nil"/>
          <w:between w:val="nil"/>
        </w:pBdr>
        <w:spacing w:after="120" w:line="360" w:lineRule="auto"/>
        <w:jc w:val="both"/>
        <w:rPr>
          <w:color w:val="000000"/>
        </w:rPr>
      </w:pPr>
      <w:r>
        <w:rPr>
          <w:color w:val="000000"/>
        </w:rPr>
        <w:t>Cinco de los ocho indicadores de la MIR del Programa presupuestario definen al mismo medio de verificación “Informe de seguimiento del análisis programático presupuestario mensual” en donde se señala que la ubicación física o electrónica del documento es: “Dirección de Educación Elemental, Primaria y Secundaria. Subdirección de Presupuesto”.</w:t>
      </w:r>
    </w:p>
    <w:p w14:paraId="584BE2B6" w14:textId="77777777" w:rsidR="006041CA" w:rsidRDefault="001271CC">
      <w:pPr>
        <w:numPr>
          <w:ilvl w:val="0"/>
          <w:numId w:val="8"/>
        </w:numPr>
        <w:pBdr>
          <w:top w:val="nil"/>
          <w:left w:val="nil"/>
          <w:bottom w:val="nil"/>
          <w:right w:val="nil"/>
          <w:between w:val="nil"/>
        </w:pBdr>
        <w:spacing w:after="120" w:line="360" w:lineRule="auto"/>
        <w:jc w:val="both"/>
        <w:rPr>
          <w:color w:val="000000"/>
        </w:rPr>
      </w:pPr>
      <w:r>
        <w:rPr>
          <w:color w:val="000000"/>
        </w:rPr>
        <w:t>El Componente 5 del indicador “Porcentaje de mantenimiento preventivo realizado en escuelas de Educación Básica”, se identifica que el medio de verificación es “Padrón de escuelas beneficiadas/ Evidencia empírica de escuelas que recibieron mantenimiento preventivo” y su ubicación es la “Dirección de Planeación Educativa”.</w:t>
      </w:r>
    </w:p>
    <w:p w14:paraId="72453E60" w14:textId="77777777" w:rsidR="006041CA" w:rsidRDefault="001271CC">
      <w:pPr>
        <w:numPr>
          <w:ilvl w:val="0"/>
          <w:numId w:val="8"/>
        </w:numPr>
        <w:pBdr>
          <w:top w:val="nil"/>
          <w:left w:val="nil"/>
          <w:bottom w:val="nil"/>
          <w:right w:val="nil"/>
          <w:between w:val="nil"/>
        </w:pBdr>
        <w:spacing w:after="120" w:line="360" w:lineRule="auto"/>
        <w:jc w:val="both"/>
        <w:rPr>
          <w:color w:val="000000"/>
        </w:rPr>
      </w:pPr>
      <w:r>
        <w:rPr>
          <w:color w:val="000000"/>
        </w:rPr>
        <w:t>El Componente 7 del indicador “Porcentaje de procesos de planeación educativa realizados”, el medio de verificación del indicador se define como “Documentos internos” los cuales se ubican en la “Dirección de Planeación Educativa”.</w:t>
      </w:r>
    </w:p>
    <w:p w14:paraId="6576D60B" w14:textId="77777777" w:rsidR="006041CA" w:rsidRDefault="001271CC">
      <w:pPr>
        <w:numPr>
          <w:ilvl w:val="0"/>
          <w:numId w:val="8"/>
        </w:numPr>
        <w:pBdr>
          <w:top w:val="nil"/>
          <w:left w:val="nil"/>
          <w:bottom w:val="nil"/>
          <w:right w:val="nil"/>
          <w:between w:val="nil"/>
        </w:pBdr>
        <w:spacing w:after="120" w:line="360" w:lineRule="auto"/>
        <w:jc w:val="both"/>
        <w:rPr>
          <w:color w:val="000000"/>
        </w:rPr>
      </w:pPr>
      <w:r>
        <w:rPr>
          <w:color w:val="000000"/>
        </w:rPr>
        <w:t>El Componente 8 del indicador “Porcentaje de alumnos de educación primaria incentivados por su excelencia académica”, el medio de verificación del indicador se define como “Reconocimientos otorgados a alumnos por su excelencia académica” donde es posible ubicarlo en la “Dirección de Educación Primaria”.</w:t>
      </w:r>
    </w:p>
    <w:p w14:paraId="1AFE56DD" w14:textId="77777777" w:rsidR="006041CA" w:rsidRDefault="001271CC">
      <w:pPr>
        <w:numPr>
          <w:ilvl w:val="0"/>
          <w:numId w:val="8"/>
        </w:numPr>
        <w:pBdr>
          <w:top w:val="nil"/>
          <w:left w:val="nil"/>
          <w:bottom w:val="nil"/>
          <w:right w:val="nil"/>
          <w:between w:val="nil"/>
        </w:pBdr>
        <w:spacing w:after="120" w:line="360" w:lineRule="auto"/>
        <w:jc w:val="both"/>
        <w:rPr>
          <w:color w:val="000000"/>
        </w:rPr>
      </w:pPr>
      <w:r>
        <w:rPr>
          <w:color w:val="000000"/>
        </w:rPr>
        <w:t>De manera general, no es posible identificar en la MIR la temporalidad de la publicación de los medios de verificación.</w:t>
      </w:r>
    </w:p>
    <w:p w14:paraId="2A572139" w14:textId="77777777" w:rsidR="006041CA" w:rsidRDefault="001271CC">
      <w:pPr>
        <w:spacing w:after="120" w:line="360" w:lineRule="auto"/>
        <w:ind w:left="357"/>
        <w:jc w:val="both"/>
      </w:pPr>
      <w:r>
        <w:t>De lo anterior, es posible concluir que la definición de medios de verificación de cada indicador de la MIR del Programa presupuestario cumple con los requerimientos mínimos solicitados, ya que se define el nombre de la fuente de información, su ubicación y unidad administrativa que la emite y los documentos corresponden directamente de las instituciones en materia de Educación en el Estado, no obstante, no es posible confirmar la información ya que es ubicación física y no electrónica de la cual se pueda tener acceso de manera remota, además de que no se precisa la temporalidad de la publicación de la información.</w:t>
      </w:r>
    </w:p>
    <w:p w14:paraId="6BA23F60" w14:textId="77777777" w:rsidR="006041CA" w:rsidRDefault="001271CC">
      <w:pPr>
        <w:spacing w:after="120" w:line="360" w:lineRule="auto"/>
        <w:ind w:left="357"/>
        <w:jc w:val="both"/>
      </w:pPr>
      <w:r>
        <w:t>Se recomienda adicionar en la estructura del Formato de la MIR del Programa AE01 Educación Básica el apartado de la temporalidad de la publicación de las fuentes de información, así como también dividir el nombre de los medios de verificación y fuentes de información de cada una de las variables del indicador, esto con la finalidad de identificarlas claramente, así como tener en cuenta la temporalidad de la información para realizar el cálculo de los indicadores.</w:t>
      </w:r>
    </w:p>
    <w:p w14:paraId="4A664481" w14:textId="77777777" w:rsidR="006041CA" w:rsidRDefault="006041CA">
      <w:pPr>
        <w:spacing w:after="120" w:line="360" w:lineRule="auto"/>
        <w:ind w:left="357"/>
        <w:jc w:val="both"/>
      </w:pPr>
    </w:p>
    <w:p w14:paraId="505EE1CD"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6309669D"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7AB27983"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2BEC86AF"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2BF7B739"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593CE2C4"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0FD469F9" w14:textId="77777777" w:rsidR="006041CA" w:rsidRDefault="001271CC">
      <w:pPr>
        <w:pStyle w:val="Ttulo1"/>
        <w:spacing w:before="0" w:after="120" w:line="360" w:lineRule="auto"/>
        <w:jc w:val="center"/>
        <w:rPr>
          <w:rFonts w:ascii="Calibri" w:eastAsia="Calibri" w:hAnsi="Calibri" w:cs="Calibri"/>
          <w:b/>
          <w:color w:val="660033"/>
          <w:sz w:val="52"/>
          <w:szCs w:val="52"/>
        </w:rPr>
      </w:pPr>
      <w:bookmarkStart w:id="3" w:name="_heading=h.1fob9te" w:colFirst="0" w:colLast="0"/>
      <w:bookmarkEnd w:id="3"/>
      <w:r>
        <w:rPr>
          <w:rFonts w:ascii="Calibri" w:eastAsia="Calibri" w:hAnsi="Calibri" w:cs="Calibri"/>
          <w:b/>
          <w:color w:val="660033"/>
          <w:sz w:val="52"/>
          <w:szCs w:val="52"/>
        </w:rPr>
        <w:t>Tema III. Presupuesto</w:t>
      </w:r>
    </w:p>
    <w:p w14:paraId="62F23718" w14:textId="77777777" w:rsidR="006041CA" w:rsidRDefault="001271CC">
      <w:pPr>
        <w:spacing w:after="120" w:line="360" w:lineRule="auto"/>
      </w:pPr>
      <w:r>
        <w:br w:type="page"/>
      </w:r>
    </w:p>
    <w:p w14:paraId="0138720F" w14:textId="77777777" w:rsidR="006041CA" w:rsidRDefault="001271CC">
      <w:pPr>
        <w:spacing w:after="120" w:line="360" w:lineRule="auto"/>
        <w:jc w:val="both"/>
        <w:rPr>
          <w:b/>
        </w:rPr>
      </w:pPr>
      <w:r>
        <w:rPr>
          <w:b/>
        </w:rPr>
        <w:t>Pregunta 11. ¿Cuál fue el destino de los recursos de gasto federalizado del Programa presupuestario que se evalúa durante el período 2021-2023?</w:t>
      </w:r>
    </w:p>
    <w:p w14:paraId="6D7C50DC" w14:textId="77777777" w:rsidR="006041CA" w:rsidRDefault="001271CC">
      <w:pPr>
        <w:spacing w:after="120" w:line="360" w:lineRule="auto"/>
        <w:jc w:val="both"/>
        <w:rPr>
          <w:b/>
        </w:rPr>
      </w:pPr>
      <w:r>
        <w:rPr>
          <w:b/>
        </w:rPr>
        <w:t>RESPUESTA:</w:t>
      </w:r>
    </w:p>
    <w:p w14:paraId="5536F697" w14:textId="77777777" w:rsidR="006041CA" w:rsidRDefault="001271CC">
      <w:pPr>
        <w:spacing w:after="120" w:line="360" w:lineRule="auto"/>
        <w:jc w:val="both"/>
      </w:pPr>
      <w:r>
        <w:t>El análisis realizado para esta pregunta metodológica se contemplan los reportes definitivos del Sistema de Recursos Federales Transferidos SRFT</w:t>
      </w:r>
      <w:r>
        <w:rPr>
          <w:vertAlign w:val="superscript"/>
        </w:rPr>
        <w:footnoteReference w:id="24"/>
      </w:r>
      <w:r>
        <w:t xml:space="preserve"> de los ejercicios fiscales del periodo 2021-2023, de donde es posible identificar los momentos contables “Aprobado, Modificado, Recaudado, Devengado, Ejercido y Pagado”, de lo cual es posible identificar que en cada ejercicio fiscal las cifras autorizadas presentaron modificaciones y valores devengados, por lo que se identifica una diferencia entre estos montos y los ejercidos. </w:t>
      </w:r>
    </w:p>
    <w:p w14:paraId="389EEF2C" w14:textId="77777777" w:rsidR="006041CA" w:rsidRDefault="001271CC">
      <w:pPr>
        <w:spacing w:after="120" w:line="360" w:lineRule="auto"/>
        <w:jc w:val="both"/>
      </w:pPr>
      <w:r>
        <w:t xml:space="preserve">En lo que respecta al destino de los recursos federales en el Programa presupuestario Educación Básica es posible identificar que para los ejercicios fiscales 2021 y 2022 se definieron los mismos diez Componentes en la MIR del Programa, mientras que para el 2023 se modificó la MIR reduciendo a ocho Componentes; de tal manera que, el destino de los recursos del Fondo de acuerdo a los bienes y/o servicios señalados en la MIR cumplen con lo dispuesto en la Normatividad aplicable. </w:t>
      </w:r>
    </w:p>
    <w:p w14:paraId="444A4F8A" w14:textId="77777777" w:rsidR="006041CA" w:rsidRDefault="001271CC">
      <w:pPr>
        <w:spacing w:after="120" w:line="360" w:lineRule="auto"/>
        <w:jc w:val="both"/>
      </w:pPr>
      <w:r>
        <w:t>En el Formato 11b del Anexo 5 de la presente evaluación se desglosan los recursos del Fondo por cada ejercicio fiscal, y el destino de los recursos en el Programa presupuestario AE01 Educación Básica de acuerdo a la estructura de la MIR</w:t>
      </w:r>
      <w:r>
        <w:rPr>
          <w:vertAlign w:val="superscript"/>
        </w:rPr>
        <w:footnoteReference w:id="25"/>
      </w:r>
      <w:r>
        <w:t>, de lo cual se observa lo siguiente:</w:t>
      </w:r>
    </w:p>
    <w:p w14:paraId="71DA31D4" w14:textId="77777777" w:rsidR="006041CA" w:rsidRDefault="001271CC">
      <w:pPr>
        <w:spacing w:after="120" w:line="360" w:lineRule="auto"/>
        <w:jc w:val="both"/>
      </w:pPr>
      <w:r>
        <w:t>En el ejercicio fiscal 2021 se aprobaron $19,198,055,175.00 el cual sufrió modificaciones reportando la cifra de $19,930,539,808.66 señalando un incremento de $732,484,633.66 lo que representa el 3.82%, por último, se observa que se pagó el 99.92% del recurso ministrado. En lo que respecta a lo señalado en la MIR del Programa AE01 Educación Básica es posible concluir que los recursos del Fondo se destinaron para el cumplimiento de los diez Componentes y que a su vez se cumpla con el Propósito definido.</w:t>
      </w:r>
    </w:p>
    <w:p w14:paraId="5AB683E8" w14:textId="77777777" w:rsidR="006041CA" w:rsidRDefault="001271CC">
      <w:pPr>
        <w:spacing w:after="120" w:line="360" w:lineRule="auto"/>
        <w:jc w:val="both"/>
      </w:pPr>
      <w:r>
        <w:t>Para el ejercicio fiscal 2022, en el reporte del SRFT se observa como recurso aprobado la cantidad de $5,015,278,585.00 sufriendo una modificación reportando la cantidad de $20,986,109,800.15 y un recurso ministrado de $20,983,145,838.51, cabe mencionar que se identifica un incremento del 5.30% del recurso modificado con respecto al ejercicio 2021 y se reporta que se pagó el 99.95% del recurso ministrado en dicho ejercicio fiscal. Referente al destino de los recursos del Fondo destinados a los bienes y/o servicios definidos en la MIR del Programa AE01 Educación Básica es posible concluir que dichos Componentes son los necesarios para dar cumplimiento al objetivo del Programa, además de que son congruentes con la normatividad vigente.</w:t>
      </w:r>
    </w:p>
    <w:p w14:paraId="26EF38B8" w14:textId="77777777" w:rsidR="006041CA" w:rsidRDefault="001271CC">
      <w:pPr>
        <w:spacing w:after="120" w:line="360" w:lineRule="auto"/>
        <w:jc w:val="both"/>
      </w:pPr>
      <w:r>
        <w:t>En lo que respecta a lo reportado en el SRFT, es posible identificar que del recurso aprobado fue de $6,352,622,830.00 se reporta un modificado de $22,367,617,514.67 y un ministrado de $22,366,395,947.79, identificando un incremento del 6.58% del recurso modificado con respecto al ejercicio 2022, además, de acuerdo a lo reportado es posible identificar que se pagó el 99.90% respecto al recurso ministrado. Por último, la MIR del Programa presupuestario evaluado del ejercicio 2023 sufrió una modificación respecto a los Componentes, ya que disminuyeron dos de los diez Componentes de las MIR de los dos ejercicios fiscales anteriores</w:t>
      </w:r>
      <w:r>
        <w:rPr>
          <w:vertAlign w:val="superscript"/>
        </w:rPr>
        <w:footnoteReference w:id="26"/>
      </w:r>
      <w:r>
        <w:t xml:space="preserve"> quedando ocho Componentes, no obstante, es posible concluir que el destino de los recursos del Fondo en estos Componentes contribuyen al cumplimiento del Propósito señalado en dicha MIR.</w:t>
      </w:r>
    </w:p>
    <w:p w14:paraId="425FB1BA" w14:textId="77777777" w:rsidR="006041CA" w:rsidRDefault="001271CC">
      <w:pPr>
        <w:spacing w:after="120" w:line="360" w:lineRule="auto"/>
        <w:jc w:val="both"/>
      </w:pPr>
      <w:r>
        <w:t>De lo anterior, es posible concluir que el destino de los recursos del Fondo de Aportaciones para la Nómina Educativa y Gasto Operativo durante el periodo 2021-2023 es para el cumplimiento de lo señalado en la MIR del Programa AE01 Educación Básica en el estado de Michoacán en los objetivos estratégicos de Componentes y Propósito los cuales son congruentes con la normatividad vigente del FONE.</w:t>
      </w:r>
    </w:p>
    <w:p w14:paraId="6C31FFF7" w14:textId="77777777" w:rsidR="006041CA" w:rsidRDefault="006041CA">
      <w:pPr>
        <w:spacing w:after="120" w:line="360" w:lineRule="auto"/>
        <w:jc w:val="both"/>
      </w:pPr>
    </w:p>
    <w:p w14:paraId="553586F0" w14:textId="77777777" w:rsidR="006041CA" w:rsidRDefault="006041CA">
      <w:pPr>
        <w:spacing w:after="120" w:line="360" w:lineRule="auto"/>
        <w:jc w:val="both"/>
      </w:pPr>
    </w:p>
    <w:p w14:paraId="018687B9" w14:textId="77777777" w:rsidR="006041CA" w:rsidRDefault="006041CA">
      <w:pPr>
        <w:spacing w:after="120" w:line="360" w:lineRule="auto"/>
        <w:jc w:val="both"/>
      </w:pPr>
    </w:p>
    <w:p w14:paraId="21117237" w14:textId="77777777" w:rsidR="006041CA" w:rsidRDefault="001271CC">
      <w:pPr>
        <w:spacing w:after="120" w:line="360" w:lineRule="auto"/>
        <w:jc w:val="both"/>
      </w:pPr>
      <w:r>
        <w:br w:type="page"/>
      </w:r>
    </w:p>
    <w:p w14:paraId="35576FB0" w14:textId="77777777" w:rsidR="006041CA" w:rsidRDefault="001271CC">
      <w:pPr>
        <w:spacing w:after="120" w:line="360" w:lineRule="auto"/>
        <w:jc w:val="both"/>
        <w:rPr>
          <w:b/>
        </w:rPr>
      </w:pPr>
      <w:r>
        <w:rPr>
          <w:b/>
        </w:rPr>
        <w:t>Pregunta 12. ¿Cuál fue el comportamiento de los recursos de gasto federalizado para el Programa presupuestario que se evalúa en el período 2021-2023?</w:t>
      </w:r>
    </w:p>
    <w:p w14:paraId="766491C2" w14:textId="77777777" w:rsidR="006041CA" w:rsidRDefault="001271CC">
      <w:pPr>
        <w:spacing w:after="120" w:line="360" w:lineRule="auto"/>
        <w:jc w:val="both"/>
        <w:rPr>
          <w:b/>
        </w:rPr>
      </w:pPr>
      <w:r>
        <w:rPr>
          <w:b/>
        </w:rPr>
        <w:t>RESPUESTA:</w:t>
      </w:r>
    </w:p>
    <w:p w14:paraId="0B38A75E" w14:textId="77777777" w:rsidR="006041CA" w:rsidRDefault="001271CC">
      <w:pPr>
        <w:spacing w:after="120" w:line="360" w:lineRule="auto"/>
        <w:jc w:val="both"/>
      </w:pPr>
      <w:r>
        <w:t>El análisis de los recursos del Fondo reveló que, en general, los montos ministrados en términos reales muestran una tendencia creciente en el periodo 2021-2023 (ver gráfico del Formato 12 anexo 5), con tasas de crecimiento reales positivas</w:t>
      </w:r>
      <w:r>
        <w:rPr>
          <w:vertAlign w:val="superscript"/>
        </w:rPr>
        <w:footnoteReference w:id="27"/>
      </w:r>
      <w:r>
        <w:t xml:space="preserve">. Asimismo, se observó que en cada ejercicio fiscal las cifras autorizadas presentaron modificaciones y valores devengados, por lo que se identifica una diferencia entre estos montos y los ejercidos. En los párrafos siguientes se desglosará la información para el periodo tomado como base el Formato 12. </w:t>
      </w:r>
    </w:p>
    <w:p w14:paraId="177981F7" w14:textId="77777777" w:rsidR="006041CA" w:rsidRDefault="001271CC">
      <w:pPr>
        <w:spacing w:after="120" w:line="360" w:lineRule="auto"/>
        <w:jc w:val="both"/>
      </w:pPr>
      <w:r>
        <w:t>Para el ejercicio fiscal 2021, se identifica que el recurso ministrado nominal fue de $19,928,689,373.78 mientras que el recurso ministrado real fue de $17,457,570,781.15, identificando una variación del 14.15%, en lo que respecta al recurso ejercido se reportó la cantidad de $ 19,912,568,859.90 el cual corresponde el 99.93% con respecto al recurso devengado el cual se reportó la cantidad de $ 19,927,361,776.88.</w:t>
      </w:r>
    </w:p>
    <w:p w14:paraId="2B7B98C7" w14:textId="77777777" w:rsidR="006041CA" w:rsidRDefault="001271CC">
      <w:pPr>
        <w:spacing w:after="120" w:line="360" w:lineRule="auto"/>
        <w:jc w:val="both"/>
      </w:pPr>
      <w:r>
        <w:t>Respecto al ejercicio fiscal 2022 se reportó un recurso ministrado nominal de $20,983,145,838.51 y un recurso ministrado real de $17,223,847,301.03 identificando una variación del 21.83% entre el recurso nominal y el real, referente al recurso ejercido se reporta la cantidad de $20,976,028,342.19 el cual corresponde al 99.96% con relación al recurso devengado que fue de $20,984,902,814.55.</w:t>
      </w:r>
    </w:p>
    <w:p w14:paraId="3FA0DF0A" w14:textId="77777777" w:rsidR="006041CA" w:rsidRDefault="001271CC">
      <w:pPr>
        <w:spacing w:after="120" w:line="360" w:lineRule="auto"/>
        <w:jc w:val="both"/>
      </w:pPr>
      <w:r>
        <w:t>En el ejercicio fiscal 2023, se reporta un recurso ministrado nominal de $22,366,395,947.79 y un recurso ministrado real de $17,489,842,060.10 señalando una variación del 27.99%, respecto al recurso ejercido se reporta la cantidad de $22,345,700,817.25 lo que corresponde al 99.96% con respecto al recurso devengado que es $22,355,469,350.14.</w:t>
      </w:r>
    </w:p>
    <w:p w14:paraId="199946D2" w14:textId="77777777" w:rsidR="006041CA" w:rsidRDefault="001271CC">
      <w:pPr>
        <w:spacing w:after="120" w:line="360" w:lineRule="auto"/>
        <w:jc w:val="both"/>
      </w:pPr>
      <w:r>
        <w:t>De lo anterior se identifica primeramente que el comportamiento de los recursos del Fondo durante el periodo 2021-2023 han sufrido incrementos en los recursos modificados y ministrados en términos nominales, ya que los recursos ministrados en términos reales para el ejercicio 2022 se disminuyó el 1.35% con relación a lo ministrado real del 2021, y en lo que respecta al 2023 se presenta un incremento del 1.54% con relación al 2022. En lo que respecta al ejercicio de los recursos, estos se ejercieron casi en su totalidad en cada uno de los ejercicios fiscales.</w:t>
      </w:r>
    </w:p>
    <w:p w14:paraId="283EA501" w14:textId="77777777" w:rsidR="006041CA" w:rsidRDefault="006041CA">
      <w:pPr>
        <w:spacing w:after="120" w:line="360" w:lineRule="auto"/>
        <w:jc w:val="both"/>
      </w:pPr>
    </w:p>
    <w:p w14:paraId="064CF27B" w14:textId="77777777" w:rsidR="006041CA" w:rsidRDefault="006041CA">
      <w:pPr>
        <w:spacing w:after="120" w:line="360" w:lineRule="auto"/>
        <w:jc w:val="both"/>
        <w:rPr>
          <w:color w:val="000000"/>
          <w:sz w:val="18"/>
          <w:szCs w:val="18"/>
        </w:rPr>
      </w:pPr>
    </w:p>
    <w:p w14:paraId="50FF075D" w14:textId="77777777" w:rsidR="006041CA" w:rsidRDefault="006041CA">
      <w:pPr>
        <w:spacing w:after="120" w:line="360" w:lineRule="auto"/>
        <w:jc w:val="both"/>
        <w:rPr>
          <w:color w:val="000000"/>
          <w:sz w:val="18"/>
          <w:szCs w:val="18"/>
        </w:rPr>
      </w:pPr>
    </w:p>
    <w:p w14:paraId="62CA5AD7" w14:textId="77777777" w:rsidR="006041CA" w:rsidRDefault="006041CA">
      <w:pPr>
        <w:spacing w:after="120" w:line="360" w:lineRule="auto"/>
        <w:jc w:val="both"/>
        <w:rPr>
          <w:color w:val="000000"/>
          <w:sz w:val="18"/>
          <w:szCs w:val="18"/>
        </w:rPr>
      </w:pPr>
    </w:p>
    <w:p w14:paraId="080BE511" w14:textId="77777777" w:rsidR="006041CA" w:rsidRDefault="001271CC">
      <w:pPr>
        <w:spacing w:after="120" w:line="360" w:lineRule="auto"/>
      </w:pPr>
      <w:r>
        <w:br w:type="page"/>
      </w:r>
    </w:p>
    <w:p w14:paraId="4B5F736C"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27DBE38E"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39B598F3" w14:textId="77777777" w:rsidR="006041CA" w:rsidRDefault="006041CA">
      <w:pPr>
        <w:pStyle w:val="Ttulo1"/>
        <w:spacing w:before="0" w:after="120" w:line="360" w:lineRule="auto"/>
        <w:rPr>
          <w:rFonts w:ascii="Calibri" w:eastAsia="Calibri" w:hAnsi="Calibri" w:cs="Calibri"/>
          <w:b/>
          <w:color w:val="000000"/>
          <w:sz w:val="52"/>
          <w:szCs w:val="52"/>
        </w:rPr>
      </w:pPr>
    </w:p>
    <w:p w14:paraId="06B97E5E" w14:textId="77777777" w:rsidR="006041CA" w:rsidRDefault="001271CC">
      <w:pPr>
        <w:tabs>
          <w:tab w:val="left" w:pos="6120"/>
        </w:tabs>
        <w:spacing w:after="120" w:line="360" w:lineRule="auto"/>
      </w:pPr>
      <w:r>
        <w:tab/>
      </w:r>
    </w:p>
    <w:p w14:paraId="153198B2" w14:textId="77777777" w:rsidR="006041CA" w:rsidRDefault="006041CA">
      <w:pPr>
        <w:tabs>
          <w:tab w:val="left" w:pos="6120"/>
        </w:tabs>
        <w:spacing w:after="120" w:line="360" w:lineRule="auto"/>
      </w:pPr>
    </w:p>
    <w:p w14:paraId="2ABB8F26" w14:textId="77777777" w:rsidR="006041CA" w:rsidRDefault="006041CA">
      <w:pPr>
        <w:spacing w:after="120" w:line="360" w:lineRule="auto"/>
      </w:pPr>
    </w:p>
    <w:p w14:paraId="786F7E44" w14:textId="77777777" w:rsidR="006041CA" w:rsidRDefault="006041CA">
      <w:pPr>
        <w:spacing w:after="120" w:line="360" w:lineRule="auto"/>
      </w:pPr>
    </w:p>
    <w:p w14:paraId="684BF242" w14:textId="77777777" w:rsidR="006041CA" w:rsidRDefault="006041CA">
      <w:pPr>
        <w:spacing w:after="120" w:line="360" w:lineRule="auto"/>
      </w:pPr>
    </w:p>
    <w:p w14:paraId="4499BC0C" w14:textId="77777777" w:rsidR="006041CA" w:rsidRDefault="006041CA">
      <w:pPr>
        <w:spacing w:after="120" w:line="360" w:lineRule="auto"/>
      </w:pPr>
    </w:p>
    <w:p w14:paraId="58CFEBAE" w14:textId="77777777" w:rsidR="006041CA" w:rsidRDefault="001271CC">
      <w:pPr>
        <w:pStyle w:val="Ttulo1"/>
        <w:spacing w:before="0" w:after="120" w:line="360" w:lineRule="auto"/>
        <w:jc w:val="center"/>
        <w:rPr>
          <w:rFonts w:ascii="Calibri" w:eastAsia="Calibri" w:hAnsi="Calibri" w:cs="Calibri"/>
          <w:b/>
          <w:color w:val="660033"/>
          <w:sz w:val="52"/>
          <w:szCs w:val="52"/>
        </w:rPr>
      </w:pPr>
      <w:bookmarkStart w:id="4" w:name="_heading=h.3znysh7" w:colFirst="0" w:colLast="0"/>
      <w:bookmarkEnd w:id="4"/>
      <w:r>
        <w:rPr>
          <w:rFonts w:ascii="Calibri" w:eastAsia="Calibri" w:hAnsi="Calibri" w:cs="Calibri"/>
          <w:b/>
          <w:color w:val="660033"/>
          <w:sz w:val="52"/>
          <w:szCs w:val="52"/>
        </w:rPr>
        <w:t>Tema IV. Cobertura</w:t>
      </w:r>
    </w:p>
    <w:p w14:paraId="3B914B73" w14:textId="77777777" w:rsidR="006041CA" w:rsidRDefault="001271CC">
      <w:pPr>
        <w:spacing w:after="120" w:line="360" w:lineRule="auto"/>
      </w:pPr>
      <w:r>
        <w:br w:type="page"/>
      </w:r>
    </w:p>
    <w:p w14:paraId="5008616E" w14:textId="77777777" w:rsidR="006041CA" w:rsidRDefault="001271CC">
      <w:pPr>
        <w:spacing w:after="120" w:line="360" w:lineRule="auto"/>
        <w:jc w:val="both"/>
        <w:rPr>
          <w:b/>
          <w:color w:val="000000"/>
        </w:rPr>
      </w:pPr>
      <w:r>
        <w:rPr>
          <w:b/>
          <w:color w:val="000000"/>
        </w:rPr>
        <w:t>Pregunta 13. ¿Cuál fue la cobertura anual del Programa presupuestario que se evalúa financiado con recursos de gasto federalizado?</w:t>
      </w:r>
    </w:p>
    <w:p w14:paraId="6C8E8CF4" w14:textId="77777777" w:rsidR="006041CA" w:rsidRDefault="001271CC">
      <w:pPr>
        <w:spacing w:after="120" w:line="360" w:lineRule="auto"/>
        <w:jc w:val="both"/>
        <w:rPr>
          <w:b/>
        </w:rPr>
      </w:pPr>
      <w:r>
        <w:rPr>
          <w:b/>
        </w:rPr>
        <w:t>RESPUESTA:</w:t>
      </w:r>
    </w:p>
    <w:p w14:paraId="33C25E3C" w14:textId="77777777" w:rsidR="006041CA" w:rsidRDefault="001271CC">
      <w:pPr>
        <w:spacing w:after="120" w:line="360" w:lineRule="auto"/>
        <w:jc w:val="both"/>
      </w:pPr>
      <w:r>
        <w:t xml:space="preserve">De acuerdo a la “Estrategia de Cobertura” correspondiente al ejercicio 2023 el cual es un documento institucional proporcionado por el Ente Público encargado del Programa presupuestario AE01 Educación Básica, en donde se especifica la definición y cuantificación de la población potencial y objetivo que es: </w:t>
      </w:r>
    </w:p>
    <w:p w14:paraId="42A5E55C" w14:textId="77777777" w:rsidR="006041CA" w:rsidRDefault="001271CC">
      <w:pPr>
        <w:numPr>
          <w:ilvl w:val="0"/>
          <w:numId w:val="9"/>
        </w:numPr>
        <w:pBdr>
          <w:top w:val="nil"/>
          <w:left w:val="nil"/>
          <w:bottom w:val="nil"/>
          <w:right w:val="nil"/>
          <w:between w:val="nil"/>
        </w:pBdr>
        <w:spacing w:after="120" w:line="360" w:lineRule="auto"/>
        <w:jc w:val="both"/>
        <w:rPr>
          <w:color w:val="000000"/>
        </w:rPr>
      </w:pPr>
      <w:r>
        <w:rPr>
          <w:color w:val="000000"/>
        </w:rPr>
        <w:t>Población potencial: Número de habitantes de 3 a 15 años de edad; Población de 3 a 15 años en el Estado de Michoacán en 2023; su cuantificación 1,167, 495</w:t>
      </w:r>
      <w:r>
        <w:rPr>
          <w:color w:val="000000"/>
          <w:vertAlign w:val="superscript"/>
        </w:rPr>
        <w:footnoteReference w:id="28"/>
      </w:r>
      <w:r>
        <w:rPr>
          <w:color w:val="000000"/>
        </w:rPr>
        <w:t>.</w:t>
      </w:r>
    </w:p>
    <w:p w14:paraId="715CD1C9" w14:textId="77777777" w:rsidR="006041CA" w:rsidRDefault="001271CC">
      <w:pPr>
        <w:numPr>
          <w:ilvl w:val="0"/>
          <w:numId w:val="9"/>
        </w:numPr>
        <w:pBdr>
          <w:top w:val="nil"/>
          <w:left w:val="nil"/>
          <w:bottom w:val="nil"/>
          <w:right w:val="nil"/>
          <w:between w:val="nil"/>
        </w:pBdr>
        <w:spacing w:after="120" w:line="360" w:lineRule="auto"/>
        <w:jc w:val="both"/>
        <w:rPr>
          <w:color w:val="000000"/>
          <w:sz w:val="24"/>
          <w:szCs w:val="24"/>
        </w:rPr>
      </w:pPr>
      <w:r>
        <w:rPr>
          <w:color w:val="000000"/>
        </w:rPr>
        <w:t>Población objetivo: Número de Alumnos inscritos en Educación Básica en escuelas de educación pública; Alumnos inscritos en Educación Básica en escuelas de educación pública en el ciclo escolar 2022-2023; su cuantificación 728,848</w:t>
      </w:r>
      <w:r>
        <w:rPr>
          <w:color w:val="000000"/>
          <w:vertAlign w:val="superscript"/>
        </w:rPr>
        <w:footnoteReference w:id="29"/>
      </w:r>
      <w:r>
        <w:rPr>
          <w:color w:val="000000"/>
        </w:rPr>
        <w:t>.</w:t>
      </w:r>
    </w:p>
    <w:p w14:paraId="10E90448" w14:textId="77777777" w:rsidR="006041CA" w:rsidRDefault="001271CC">
      <w:pPr>
        <w:numPr>
          <w:ilvl w:val="0"/>
          <w:numId w:val="9"/>
        </w:numPr>
        <w:pBdr>
          <w:top w:val="nil"/>
          <w:left w:val="nil"/>
          <w:bottom w:val="nil"/>
          <w:right w:val="nil"/>
          <w:between w:val="nil"/>
        </w:pBdr>
        <w:spacing w:after="120" w:line="360" w:lineRule="auto"/>
        <w:jc w:val="both"/>
        <w:rPr>
          <w:color w:val="000000"/>
          <w:sz w:val="24"/>
          <w:szCs w:val="24"/>
        </w:rPr>
      </w:pPr>
      <w:r>
        <w:rPr>
          <w:color w:val="000000"/>
        </w:rPr>
        <w:t>Población atendida: Número de Alumnos inscritos en Educación Básica en escuelas de educación pública; Alumnos inscritos en Educación Básica en escuelas de educación pública en el ciclo escolar 2022-2023; su cuantificación 728,848.</w:t>
      </w:r>
    </w:p>
    <w:p w14:paraId="56560629" w14:textId="77777777" w:rsidR="006041CA" w:rsidRDefault="001271CC">
      <w:pPr>
        <w:spacing w:after="120" w:line="360" w:lineRule="auto"/>
        <w:jc w:val="both"/>
      </w:pPr>
      <w:r>
        <w:t>De lo anterior, se identifica que la eficiencia de cobertura en el ejercicio fiscal corresponde al 100%, ya que es la misma cifra respecto a la población objetivo y atendida. Por otro lado, no se cuenta con evidencia documental respecto a las poblaciones y su modificación a través de los trimestres del ejercicio fiscal, por lo que en el Formato 13 del Anexo 5 de la presente evaluación sólo se señala el total definido en la Estrategia de Cobertura.</w:t>
      </w:r>
    </w:p>
    <w:p w14:paraId="3D374217" w14:textId="77777777" w:rsidR="006041CA" w:rsidRDefault="001271CC">
      <w:pPr>
        <w:spacing w:after="120" w:line="360" w:lineRule="auto"/>
        <w:jc w:val="both"/>
      </w:pPr>
      <w:r>
        <w:t>Cabe mencionar que las cifras reportadas en el documento “Principales Cifras del Sistema Educativo Nacional”</w:t>
      </w:r>
      <w:r>
        <w:rPr>
          <w:vertAlign w:val="superscript"/>
        </w:rPr>
        <w:footnoteReference w:id="30"/>
      </w:r>
      <w:r>
        <w:t xml:space="preserve"> se reportaron otras cantidades respecto a la población atendida la cual es 847,184 alumnos de la Educación Básica pública. De lo anterior es importante aclarar que las primeras cifras corresponden al documento de planeación institucional, mientras que éste</w:t>
      </w:r>
      <w:r>
        <w:rPr>
          <w:highlight w:val="yellow"/>
        </w:rPr>
        <w:t xml:space="preserve"> último </w:t>
      </w:r>
      <w:r>
        <w:t xml:space="preserve">el es reportado a nivel federal al </w:t>
      </w:r>
      <w:r>
        <w:rPr>
          <w:highlight w:val="yellow"/>
        </w:rPr>
        <w:t>término</w:t>
      </w:r>
      <w:r>
        <w:t xml:space="preserve"> del ciclo escolar correspondiente, por lo cual se identifican diferencias en las cantidades. </w:t>
      </w:r>
    </w:p>
    <w:p w14:paraId="0BEF351D" w14:textId="77777777" w:rsidR="006041CA" w:rsidRDefault="006041CA">
      <w:pPr>
        <w:spacing w:after="120" w:line="360" w:lineRule="auto"/>
        <w:jc w:val="both"/>
      </w:pPr>
    </w:p>
    <w:p w14:paraId="72D55B52" w14:textId="77777777" w:rsidR="006041CA" w:rsidRDefault="001271CC">
      <w:pPr>
        <w:spacing w:after="120" w:line="360" w:lineRule="auto"/>
        <w:jc w:val="both"/>
        <w:rPr>
          <w:b/>
          <w:color w:val="000000"/>
        </w:rPr>
      </w:pPr>
      <w:r>
        <w:rPr>
          <w:b/>
          <w:color w:val="000000"/>
        </w:rPr>
        <w:t>Pregunta 14. ¿Es posible conocer y por lo tanto describir el comportamiento histórico de la cobertura de atención durante el periodo 2021-2023 del Programa presupuestario que ha tenido continuidad, financiado con recurso del gasto federalizado?</w:t>
      </w:r>
    </w:p>
    <w:p w14:paraId="7E1D450F" w14:textId="77777777" w:rsidR="006041CA" w:rsidRDefault="001271CC">
      <w:pPr>
        <w:spacing w:after="120" w:line="360" w:lineRule="auto"/>
        <w:jc w:val="both"/>
        <w:rPr>
          <w:b/>
        </w:rPr>
      </w:pPr>
      <w:r>
        <w:rPr>
          <w:b/>
        </w:rPr>
        <w:t>RESPUESTA: SÍ</w:t>
      </w:r>
    </w:p>
    <w:p w14:paraId="43EF3C6C" w14:textId="77777777" w:rsidR="006041CA" w:rsidRDefault="001271CC">
      <w:pPr>
        <w:spacing w:after="120" w:line="360" w:lineRule="auto"/>
        <w:jc w:val="both"/>
      </w:pPr>
      <w:r>
        <w:t xml:space="preserve">De acuerdo a la información proporcionada por el ente público evaluado como lo es la “Estrategia de Cobertura de los ciclos 2021-2022 y 2022-2023, así como la información reportada en los documentos “Principales Cifras del Sistema Educativo Nacional” de los ciclos 2020-2021, 2021-2022 y 2022-2023, es posible conocer la cobertura de atención durante el periodo 2021-2023 y por ende calcular la eficiencia de cobertura durante el mismo periodo de lo cual se obtiene los siguientes resultados (Ver Formato 14 del Anexo 5): </w:t>
      </w:r>
    </w:p>
    <w:p w14:paraId="4BEDCB55" w14:textId="77777777" w:rsidR="006041CA" w:rsidRDefault="001271CC">
      <w:pPr>
        <w:spacing w:after="120" w:line="360" w:lineRule="auto"/>
        <w:jc w:val="both"/>
      </w:pPr>
      <w:r>
        <w:t>Para los cálculos del ejercicio fiscal 2021 es posible identificar que las cifras se obtuvieron del documento “Principales Cifras del Sistema Educativo Nacional ciclo escolar 2020-2021”, además, de que se cuantificó como población potencial y objetivo a la población inscrita en Educación Básica en la entidad y la población atendida se define como los alumnos inscritos en escuelas públicas, por lo cual la Cobertura del Programa presupuestario AE01 Educación Básica del ejercicio fiscal 2021 fue del 89.21% al igual que la Eficiencia  de Cobertura.</w:t>
      </w:r>
    </w:p>
    <w:p w14:paraId="7C9E5C62" w14:textId="77777777" w:rsidR="006041CA" w:rsidRDefault="001271CC">
      <w:pPr>
        <w:spacing w:after="120" w:line="360" w:lineRule="auto"/>
        <w:jc w:val="both"/>
      </w:pPr>
      <w:r>
        <w:t>Respecto al ejercicio 2022, se cuenta con el documento “Estrategia de Cobertura” el cual es un documento de planeación institucional donde se define y cuantifica a la población potencial la cual es “Número de habitantes de 3 a 15 años de edad”, mientras que la población objetivo y atendida son los alumnos inscritos en Educación Básica en escuelas de educación pública; por otro lado, se toma en cuenta las cifras reportadas en el documento “Principales Cifras del Sistema Educativo Nacional ciclo escolar 2021-2022” respecto a las poblaciones objetivo y atendida, mientras que para la población potencial es lo señalado en la estrategia de cobertura; de lo cual da como resultado una Cobertura para el ejercicio fiscal 2022 del 71.86% y una Eficiencia de Cobertura del 100%.</w:t>
      </w:r>
    </w:p>
    <w:p w14:paraId="624B1A01" w14:textId="77777777" w:rsidR="006041CA" w:rsidRDefault="001271CC">
      <w:pPr>
        <w:spacing w:after="120" w:line="360" w:lineRule="auto"/>
        <w:jc w:val="both"/>
      </w:pPr>
      <w:r>
        <w:t>Por último, para el ejercicio fiscal 2023 se toma en cuenta la información señalada en la Estrategia de Cobertura del ciclo 2022-2023 respecto a la definición de las poblaciones y sólo la cuantificación de la población potencial, ya que respecto a las poblaciones objetivo y atendida se toman en cuenta las cifras reportadas en el documento “Principales Cifras del Sistema Educativo Nacional ciclo escolar 2022-2023”, de lo cual da como resultado una Cobertura del Programa presupuestario AE01 Educación Básica del ejercicio fiscal 2023 72.56% y una Eficiencia de Cobertura del 100%.</w:t>
      </w:r>
    </w:p>
    <w:p w14:paraId="763182AF" w14:textId="77777777" w:rsidR="006041CA" w:rsidRDefault="001271CC">
      <w:pPr>
        <w:spacing w:after="120" w:line="360" w:lineRule="auto"/>
        <w:jc w:val="both"/>
      </w:pPr>
      <w:r>
        <w:t>De lo anterior, es posible observar que se cuenta con los elementos necesarios para conocer la Cobertura y la Eficiencia de Cobertura del Programa presupuestario evaluado durante el periodo 2021-2023, donde se identifica un incremento en la cobertura del ejercicio 2023 con respecto al 2022 y una consistencia respecto a la Eficiencia de Cobertura ya que en ambos ejercicios (2022 y 2023) se obtiene el 100%. De lo cual es posible concluir que la continuidad del ejercicio de los recursos del FONE por el Programa AE01 Educación Básica obtiene resultados positivos respecto a la cobertura.</w:t>
      </w:r>
    </w:p>
    <w:p w14:paraId="646F6A1C" w14:textId="77777777" w:rsidR="006041CA" w:rsidRDefault="006041CA">
      <w:pPr>
        <w:spacing w:after="120" w:line="360" w:lineRule="auto"/>
        <w:jc w:val="both"/>
      </w:pPr>
    </w:p>
    <w:p w14:paraId="21469BCD" w14:textId="77777777" w:rsidR="006041CA" w:rsidRDefault="001271CC">
      <w:pPr>
        <w:spacing w:after="120" w:line="360" w:lineRule="auto"/>
      </w:pPr>
      <w:r>
        <w:br w:type="page"/>
      </w:r>
    </w:p>
    <w:p w14:paraId="2CD3C2F8" w14:textId="77777777" w:rsidR="006041CA" w:rsidRDefault="001271CC">
      <w:pPr>
        <w:spacing w:after="120" w:line="360" w:lineRule="auto"/>
        <w:jc w:val="both"/>
        <w:rPr>
          <w:b/>
          <w:color w:val="000000"/>
        </w:rPr>
      </w:pPr>
      <w:r>
        <w:rPr>
          <w:b/>
          <w:color w:val="000000"/>
        </w:rPr>
        <w:t>Pregunta 15. ¿Cómo ha variado la eficiencia de la cobertura entre los ejercicios fiscales 2021 al 2023?</w:t>
      </w:r>
    </w:p>
    <w:p w14:paraId="52EB601C" w14:textId="77777777" w:rsidR="006041CA" w:rsidRDefault="001271CC">
      <w:pPr>
        <w:spacing w:after="120" w:line="360" w:lineRule="auto"/>
        <w:jc w:val="both"/>
        <w:rPr>
          <w:b/>
        </w:rPr>
      </w:pPr>
      <w:r>
        <w:rPr>
          <w:b/>
        </w:rPr>
        <w:t>RESPUESTA:</w:t>
      </w:r>
    </w:p>
    <w:p w14:paraId="2AD2FEF8" w14:textId="77777777" w:rsidR="006041CA" w:rsidRDefault="001271CC">
      <w:pPr>
        <w:spacing w:after="120" w:line="360" w:lineRule="auto"/>
        <w:jc w:val="both"/>
      </w:pPr>
      <w:r>
        <w:t>De acuerdo a la información contenida tanto en el documento de planeación institucional “Estrategia de Cobertura”, así como de los documentos “Principales Cifras del Sistema Educativo Nacional” de los ciclos 2020-2021, 2021-2022 y 2022-2023 es que se realiza el cálculo de la Eficiencia de Cobertura y su variación entre los ejercicios fiscales correspondientes 2021-2022 y 2022-2023 donde es posible obtener los siguientes resultados (Ver Formato 15 del Anexo 5):</w:t>
      </w:r>
    </w:p>
    <w:p w14:paraId="7B8C400A" w14:textId="77777777" w:rsidR="006041CA" w:rsidRDefault="001271CC">
      <w:pPr>
        <w:spacing w:after="120" w:line="360" w:lineRule="auto"/>
        <w:jc w:val="both"/>
      </w:pPr>
      <w:r>
        <w:t>La variación porcentual de la Eficiencia de Cobertura entre el ejercicio fiscal 2021 y 2022 fue de 12.10%, ya que en el año 2021 se obtuvo el 89.21% de eficiencia de cobertura y para el 2022 fue del 100%.</w:t>
      </w:r>
    </w:p>
    <w:p w14:paraId="4E81B891" w14:textId="77777777" w:rsidR="006041CA" w:rsidRDefault="001271CC">
      <w:pPr>
        <w:spacing w:after="120" w:line="360" w:lineRule="auto"/>
        <w:jc w:val="both"/>
      </w:pPr>
      <w:r>
        <w:t>Respecto al ejercicio 2023, no se presenta alguna variación porcentual ya que la Eficiencia de Cobertura fue del 100%, por lo que se sostuvo la cobertura de atención por el Programa presupuestario en dicho periodo.</w:t>
      </w:r>
    </w:p>
    <w:p w14:paraId="6192731B" w14:textId="77777777" w:rsidR="006041CA" w:rsidRDefault="001271CC">
      <w:pPr>
        <w:spacing w:after="120" w:line="360" w:lineRule="auto"/>
        <w:jc w:val="both"/>
      </w:pPr>
      <w:r>
        <w:t>De lo anterior, es posible observar que la variación que se presenta es positiva, ya que se incrementa la eficiencia de cobertura del 2021 al 2022 y este resultado se sostiene en el ejercicio 2023, lo cual denota un cumplimiento en la entrega de los Componentes y en la obtención del objetivo del Programa presupuestario AE01 Educación Básica que ejerce los recursos del FONE.</w:t>
      </w:r>
    </w:p>
    <w:p w14:paraId="4A56CA3E" w14:textId="77777777" w:rsidR="006041CA" w:rsidRDefault="001271CC">
      <w:pPr>
        <w:spacing w:after="120" w:line="360" w:lineRule="auto"/>
      </w:pPr>
      <w:r>
        <w:br w:type="page"/>
      </w:r>
    </w:p>
    <w:p w14:paraId="7E999AE4" w14:textId="77777777" w:rsidR="006041CA" w:rsidRDefault="001271CC">
      <w:pPr>
        <w:spacing w:after="120" w:line="360" w:lineRule="auto"/>
        <w:jc w:val="both"/>
        <w:rPr>
          <w:b/>
          <w:color w:val="000000"/>
        </w:rPr>
      </w:pPr>
      <w:r>
        <w:rPr>
          <w:b/>
          <w:color w:val="000000"/>
        </w:rPr>
        <w:t>Pregunta 16. ¿Cuál es la relación costo-efectividad del Programa presupuestario financiado con recursos de gasto federalizado durante el período 2021-2023?</w:t>
      </w:r>
    </w:p>
    <w:p w14:paraId="65D80C05" w14:textId="77777777" w:rsidR="006041CA" w:rsidRDefault="001271CC">
      <w:pPr>
        <w:spacing w:after="120" w:line="360" w:lineRule="auto"/>
        <w:jc w:val="both"/>
        <w:rPr>
          <w:b/>
        </w:rPr>
      </w:pPr>
      <w:r>
        <w:rPr>
          <w:b/>
        </w:rPr>
        <w:t>RESPUESTA:</w:t>
      </w:r>
    </w:p>
    <w:p w14:paraId="2C520AF0" w14:textId="77777777" w:rsidR="006041CA" w:rsidRDefault="001271CC">
      <w:pPr>
        <w:spacing w:after="120" w:line="360" w:lineRule="auto"/>
        <w:jc w:val="both"/>
      </w:pPr>
      <w:r>
        <w:t>Con base en la información de gabinete proporcionada y con los datos de los Informes al Congreso de la Unión, Informes sobre la Situación Económica, las Finanzas Públicas y la Deuda Pública. Reporte definitivo a 2023 a nivel de ejercicio del gasto del SRFT, además de la información reportada en el documento “Principales Cifras del Sistema Educativo Nacional 2022-2023” en relación a la población objetivo y atendida. Por consiguiente, con dicha información se realiza el análisis del costo-efectividad con la siguiente fórmula:</w:t>
      </w:r>
    </w:p>
    <w:p w14:paraId="627A5AF9" w14:textId="77777777" w:rsidR="006041CA" w:rsidRDefault="001271CC">
      <w:pPr>
        <w:jc w:val="center"/>
        <w:rPr>
          <w:rFonts w:ascii="Cambria Math" w:eastAsia="Cambria Math" w:hAnsi="Cambria Math" w:cs="Cambria Math"/>
        </w:rPr>
      </w:pPr>
      <m:oMathPara>
        <m:oMath>
          <m:r>
            <w:rPr>
              <w:rFonts w:ascii="Cambria Math" w:eastAsia="Cambria Math" w:hAnsi="Cambria Math" w:cs="Cambria Math"/>
            </w:rPr>
            <m:t>Costo Efectividad=</m:t>
          </m:r>
          <m:f>
            <m:fPr>
              <m:ctrlPr>
                <w:rPr>
                  <w:rFonts w:ascii="Cambria Math" w:eastAsia="Cambria Math" w:hAnsi="Cambria Math" w:cs="Cambria Math"/>
                </w:rPr>
              </m:ctrlPr>
            </m:fPr>
            <m:num>
              <m:f>
                <m:fPr>
                  <m:ctrlPr>
                    <w:rPr>
                      <w:rFonts w:ascii="Cambria Math" w:eastAsia="Cambria Math" w:hAnsi="Cambria Math" w:cs="Cambria Math"/>
                    </w:rPr>
                  </m:ctrlPr>
                </m:fPr>
                <m:num>
                  <m:r>
                    <w:rPr>
                      <w:rFonts w:ascii="Cambria Math" w:eastAsia="Cambria Math" w:hAnsi="Cambria Math" w:cs="Cambria Math"/>
                    </w:rPr>
                    <m:t>Presupuesto Modificado</m:t>
                  </m:r>
                </m:num>
                <m:den>
                  <m:r>
                    <w:rPr>
                      <w:rFonts w:ascii="Cambria Math" w:eastAsia="Cambria Math" w:hAnsi="Cambria Math" w:cs="Cambria Math"/>
                    </w:rPr>
                    <m:t>Población Objetivo</m:t>
                  </m:r>
                </m:den>
              </m:f>
            </m:num>
            <m:den>
              <m:f>
                <m:fPr>
                  <m:ctrlPr>
                    <w:rPr>
                      <w:rFonts w:ascii="Cambria Math" w:eastAsia="Cambria Math" w:hAnsi="Cambria Math" w:cs="Cambria Math"/>
                    </w:rPr>
                  </m:ctrlPr>
                </m:fPr>
                <m:num>
                  <m:r>
                    <w:rPr>
                      <w:rFonts w:ascii="Cambria Math" w:eastAsia="Cambria Math" w:hAnsi="Cambria Math" w:cs="Cambria Math"/>
                    </w:rPr>
                    <m:t>Presupuesto Ejercido</m:t>
                  </m:r>
                </m:num>
                <m:den>
                  <m:r>
                    <w:rPr>
                      <w:rFonts w:ascii="Cambria Math" w:eastAsia="Cambria Math" w:hAnsi="Cambria Math" w:cs="Cambria Math"/>
                    </w:rPr>
                    <m:t>Población Atendida</m:t>
                  </m:r>
                </m:den>
              </m:f>
            </m:den>
          </m:f>
        </m:oMath>
      </m:oMathPara>
    </w:p>
    <w:p w14:paraId="0B00EEBB" w14:textId="77777777" w:rsidR="006041CA" w:rsidRDefault="006041CA">
      <w:pPr>
        <w:spacing w:after="120" w:line="360" w:lineRule="auto"/>
        <w:jc w:val="both"/>
      </w:pPr>
    </w:p>
    <w:p w14:paraId="3DD34178" w14:textId="77777777" w:rsidR="006041CA" w:rsidRDefault="001271CC">
      <w:pPr>
        <w:jc w:val="center"/>
        <w:rPr>
          <w:rFonts w:ascii="Cambria Math" w:eastAsia="Cambria Math" w:hAnsi="Cambria Math" w:cs="Cambria Math"/>
        </w:rPr>
      </w:pPr>
      <m:oMathPara>
        <m:oMath>
          <m:r>
            <w:rPr>
              <w:rFonts w:ascii="Cambria Math" w:eastAsia="Cambria Math" w:hAnsi="Cambria Math" w:cs="Cambria Math"/>
            </w:rPr>
            <m:t>Costo Efectividad=</m:t>
          </m:r>
          <m:f>
            <m:fPr>
              <m:ctrlPr>
                <w:rPr>
                  <w:rFonts w:ascii="Cambria Math" w:eastAsia="Cambria Math" w:hAnsi="Cambria Math" w:cs="Cambria Math"/>
                </w:rPr>
              </m:ctrlPr>
            </m:fPr>
            <m:num>
              <m:f>
                <m:fPr>
                  <m:ctrlPr>
                    <w:rPr>
                      <w:rFonts w:ascii="Cambria Math" w:eastAsia="Cambria Math" w:hAnsi="Cambria Math" w:cs="Cambria Math"/>
                    </w:rPr>
                  </m:ctrlPr>
                </m:fPr>
                <m:num>
                  <m:r>
                    <w:rPr>
                      <w:rFonts w:ascii="Cambria Math" w:eastAsia="Cambria Math" w:hAnsi="Cambria Math" w:cs="Cambria Math"/>
                    </w:rPr>
                    <m:t>22,367,617,514.67</m:t>
                  </m:r>
                </m:num>
                <m:den>
                  <m:r>
                    <w:rPr>
                      <w:rFonts w:ascii="Cambria Math" w:eastAsia="Cambria Math" w:hAnsi="Cambria Math" w:cs="Cambria Math"/>
                    </w:rPr>
                    <m:t>847,184</m:t>
                  </m:r>
                </m:den>
              </m:f>
            </m:num>
            <m:den>
              <m:f>
                <m:fPr>
                  <m:ctrlPr>
                    <w:rPr>
                      <w:rFonts w:ascii="Cambria Math" w:eastAsia="Cambria Math" w:hAnsi="Cambria Math" w:cs="Cambria Math"/>
                    </w:rPr>
                  </m:ctrlPr>
                </m:fPr>
                <m:num>
                  <m:r>
                    <w:rPr>
                      <w:rFonts w:ascii="Cambria Math" w:eastAsia="Cambria Math" w:hAnsi="Cambria Math" w:cs="Cambria Math"/>
                    </w:rPr>
                    <m:t>22,345,700,817.25</m:t>
                  </m:r>
                </m:num>
                <m:den>
                  <m:r>
                    <w:rPr>
                      <w:rFonts w:ascii="Cambria Math" w:eastAsia="Cambria Math" w:hAnsi="Cambria Math" w:cs="Cambria Math"/>
                    </w:rPr>
                    <m:t>847,184</m:t>
                  </m:r>
                </m:den>
              </m:f>
            </m:den>
          </m:f>
        </m:oMath>
      </m:oMathPara>
    </w:p>
    <w:p w14:paraId="6C8361A5" w14:textId="77777777" w:rsidR="006041CA" w:rsidRDefault="001271CC">
      <w:pPr>
        <w:jc w:val="center"/>
        <w:rPr>
          <w:rFonts w:ascii="Cambria Math" w:eastAsia="Cambria Math" w:hAnsi="Cambria Math" w:cs="Cambria Math"/>
        </w:rPr>
      </w:pPr>
      <m:oMathPara>
        <m:oMath>
          <m:r>
            <w:rPr>
              <w:rFonts w:ascii="Cambria Math" w:eastAsia="Cambria Math" w:hAnsi="Cambria Math" w:cs="Cambria Math"/>
            </w:rPr>
            <m:t>Costo Efectividad=1.00</m:t>
          </m:r>
        </m:oMath>
      </m:oMathPara>
    </w:p>
    <w:tbl>
      <w:tblPr>
        <w:tblStyle w:val="a0"/>
        <w:tblW w:w="8400" w:type="dxa"/>
        <w:jc w:val="center"/>
        <w:tblInd w:w="0" w:type="dxa"/>
        <w:tblLayout w:type="fixed"/>
        <w:tblLook w:val="0400" w:firstRow="0" w:lastRow="0" w:firstColumn="0" w:lastColumn="0" w:noHBand="0" w:noVBand="1"/>
      </w:tblPr>
      <w:tblGrid>
        <w:gridCol w:w="1200"/>
        <w:gridCol w:w="1200"/>
        <w:gridCol w:w="1200"/>
        <w:gridCol w:w="1200"/>
        <w:gridCol w:w="1200"/>
        <w:gridCol w:w="1200"/>
        <w:gridCol w:w="1200"/>
      </w:tblGrid>
      <w:tr w:rsidR="006041CA" w14:paraId="73BDB1B2" w14:textId="77777777">
        <w:trPr>
          <w:trHeight w:val="9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6C0C4C"/>
            <w:vAlign w:val="center"/>
          </w:tcPr>
          <w:p w14:paraId="0745FAF8" w14:textId="77777777" w:rsidR="006041CA" w:rsidRDefault="001271CC">
            <w:pPr>
              <w:spacing w:after="120" w:line="360" w:lineRule="auto"/>
              <w:jc w:val="center"/>
              <w:rPr>
                <w:color w:val="FFFFFF"/>
              </w:rPr>
            </w:pPr>
            <w:r>
              <w:rPr>
                <w:color w:val="FFFFFF"/>
              </w:rPr>
              <w:t>Rechazable</w:t>
            </w:r>
          </w:p>
        </w:tc>
        <w:tc>
          <w:tcPr>
            <w:tcW w:w="1200" w:type="dxa"/>
            <w:tcBorders>
              <w:top w:val="single" w:sz="4" w:space="0" w:color="000000"/>
              <w:left w:val="nil"/>
              <w:bottom w:val="single" w:sz="4" w:space="0" w:color="000000"/>
              <w:right w:val="single" w:sz="4" w:space="0" w:color="000000"/>
            </w:tcBorders>
            <w:shd w:val="clear" w:color="auto" w:fill="6C0C4C"/>
            <w:vAlign w:val="center"/>
          </w:tcPr>
          <w:p w14:paraId="22B9B1AB" w14:textId="77777777" w:rsidR="006041CA" w:rsidRDefault="001271CC">
            <w:pPr>
              <w:spacing w:after="120" w:line="360" w:lineRule="auto"/>
              <w:jc w:val="center"/>
              <w:rPr>
                <w:color w:val="FFFFFF"/>
              </w:rPr>
            </w:pPr>
            <w:r>
              <w:rPr>
                <w:color w:val="FFFFFF"/>
              </w:rPr>
              <w:t>Débil</w:t>
            </w:r>
          </w:p>
        </w:tc>
        <w:tc>
          <w:tcPr>
            <w:tcW w:w="1200" w:type="dxa"/>
            <w:tcBorders>
              <w:top w:val="single" w:sz="4" w:space="0" w:color="000000"/>
              <w:left w:val="nil"/>
              <w:bottom w:val="single" w:sz="4" w:space="0" w:color="000000"/>
              <w:right w:val="single" w:sz="4" w:space="0" w:color="000000"/>
            </w:tcBorders>
            <w:shd w:val="clear" w:color="auto" w:fill="6C0C4C"/>
            <w:vAlign w:val="center"/>
          </w:tcPr>
          <w:p w14:paraId="48E1C217" w14:textId="77777777" w:rsidR="006041CA" w:rsidRDefault="001271CC">
            <w:pPr>
              <w:spacing w:after="120" w:line="360" w:lineRule="auto"/>
              <w:jc w:val="center"/>
              <w:rPr>
                <w:color w:val="FFFFFF"/>
              </w:rPr>
            </w:pPr>
            <w:r>
              <w:rPr>
                <w:color w:val="FFFFFF"/>
              </w:rPr>
              <w:t>Aceptable</w:t>
            </w:r>
          </w:p>
        </w:tc>
        <w:tc>
          <w:tcPr>
            <w:tcW w:w="1200" w:type="dxa"/>
            <w:tcBorders>
              <w:top w:val="single" w:sz="4" w:space="0" w:color="000000"/>
              <w:left w:val="nil"/>
              <w:bottom w:val="single" w:sz="4" w:space="0" w:color="000000"/>
              <w:right w:val="single" w:sz="4" w:space="0" w:color="000000"/>
            </w:tcBorders>
            <w:shd w:val="clear" w:color="auto" w:fill="6C0C4C"/>
            <w:vAlign w:val="center"/>
          </w:tcPr>
          <w:p w14:paraId="17DFC573" w14:textId="77777777" w:rsidR="006041CA" w:rsidRDefault="001271CC">
            <w:pPr>
              <w:spacing w:after="120" w:line="360" w:lineRule="auto"/>
              <w:jc w:val="center"/>
              <w:rPr>
                <w:color w:val="FFFFFF"/>
              </w:rPr>
            </w:pPr>
            <w:r>
              <w:rPr>
                <w:color w:val="FFFFFF"/>
              </w:rPr>
              <w:t>Costo-efectividad esperado</w:t>
            </w:r>
          </w:p>
        </w:tc>
        <w:tc>
          <w:tcPr>
            <w:tcW w:w="1200" w:type="dxa"/>
            <w:tcBorders>
              <w:top w:val="single" w:sz="4" w:space="0" w:color="000000"/>
              <w:left w:val="nil"/>
              <w:bottom w:val="single" w:sz="4" w:space="0" w:color="000000"/>
              <w:right w:val="single" w:sz="4" w:space="0" w:color="000000"/>
            </w:tcBorders>
            <w:shd w:val="clear" w:color="auto" w:fill="6C0C4C"/>
            <w:vAlign w:val="center"/>
          </w:tcPr>
          <w:p w14:paraId="7EA67F20" w14:textId="77777777" w:rsidR="006041CA" w:rsidRDefault="001271CC">
            <w:pPr>
              <w:spacing w:after="120" w:line="360" w:lineRule="auto"/>
              <w:jc w:val="center"/>
              <w:rPr>
                <w:color w:val="FFFFFF"/>
              </w:rPr>
            </w:pPr>
            <w:r>
              <w:rPr>
                <w:color w:val="FFFFFF"/>
              </w:rPr>
              <w:t>Aceptable</w:t>
            </w:r>
          </w:p>
        </w:tc>
        <w:tc>
          <w:tcPr>
            <w:tcW w:w="1200" w:type="dxa"/>
            <w:tcBorders>
              <w:top w:val="single" w:sz="4" w:space="0" w:color="000000"/>
              <w:left w:val="nil"/>
              <w:bottom w:val="single" w:sz="4" w:space="0" w:color="000000"/>
              <w:right w:val="single" w:sz="4" w:space="0" w:color="000000"/>
            </w:tcBorders>
            <w:shd w:val="clear" w:color="auto" w:fill="6C0C4C"/>
            <w:vAlign w:val="center"/>
          </w:tcPr>
          <w:p w14:paraId="5467F139" w14:textId="77777777" w:rsidR="006041CA" w:rsidRDefault="001271CC">
            <w:pPr>
              <w:spacing w:after="120" w:line="360" w:lineRule="auto"/>
              <w:jc w:val="center"/>
              <w:rPr>
                <w:color w:val="FFFFFF"/>
              </w:rPr>
            </w:pPr>
            <w:r>
              <w:rPr>
                <w:color w:val="FFFFFF"/>
              </w:rPr>
              <w:t>Débil</w:t>
            </w:r>
          </w:p>
        </w:tc>
        <w:tc>
          <w:tcPr>
            <w:tcW w:w="1200" w:type="dxa"/>
            <w:tcBorders>
              <w:top w:val="single" w:sz="4" w:space="0" w:color="000000"/>
              <w:left w:val="nil"/>
              <w:bottom w:val="single" w:sz="4" w:space="0" w:color="000000"/>
              <w:right w:val="single" w:sz="4" w:space="0" w:color="000000"/>
            </w:tcBorders>
            <w:shd w:val="clear" w:color="auto" w:fill="6C0C4C"/>
            <w:vAlign w:val="center"/>
          </w:tcPr>
          <w:p w14:paraId="329E08A0" w14:textId="77777777" w:rsidR="006041CA" w:rsidRDefault="001271CC">
            <w:pPr>
              <w:spacing w:after="120" w:line="360" w:lineRule="auto"/>
              <w:jc w:val="center"/>
              <w:rPr>
                <w:color w:val="FFFFFF"/>
              </w:rPr>
            </w:pPr>
            <w:r>
              <w:rPr>
                <w:color w:val="FFFFFF"/>
              </w:rPr>
              <w:t>Rechazable</w:t>
            </w:r>
          </w:p>
        </w:tc>
      </w:tr>
      <w:tr w:rsidR="006041CA" w14:paraId="5EBFFC65" w14:textId="77777777">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tcPr>
          <w:p w14:paraId="4F56F61F" w14:textId="77777777" w:rsidR="006041CA" w:rsidRDefault="001271CC">
            <w:pPr>
              <w:spacing w:after="120" w:line="360" w:lineRule="auto"/>
              <w:jc w:val="center"/>
              <w:rPr>
                <w:color w:val="000000"/>
              </w:rPr>
            </w:pPr>
            <w:r>
              <w:rPr>
                <w:color w:val="000000"/>
              </w:rPr>
              <w:t>0</w:t>
            </w:r>
          </w:p>
        </w:tc>
        <w:tc>
          <w:tcPr>
            <w:tcW w:w="1200" w:type="dxa"/>
            <w:tcBorders>
              <w:top w:val="nil"/>
              <w:left w:val="nil"/>
              <w:bottom w:val="single" w:sz="8" w:space="0" w:color="000000"/>
              <w:right w:val="single" w:sz="8" w:space="0" w:color="000000"/>
            </w:tcBorders>
            <w:shd w:val="clear" w:color="auto" w:fill="auto"/>
            <w:vAlign w:val="center"/>
          </w:tcPr>
          <w:p w14:paraId="562CD1DC" w14:textId="77777777" w:rsidR="006041CA" w:rsidRDefault="001271CC">
            <w:pPr>
              <w:spacing w:after="120" w:line="360" w:lineRule="auto"/>
              <w:jc w:val="center"/>
              <w:rPr>
                <w:color w:val="000000"/>
              </w:rPr>
            </w:pPr>
            <w:r>
              <w:rPr>
                <w:color w:val="000000"/>
              </w:rPr>
              <w:t>0.49</w:t>
            </w:r>
          </w:p>
        </w:tc>
        <w:tc>
          <w:tcPr>
            <w:tcW w:w="1200" w:type="dxa"/>
            <w:tcBorders>
              <w:top w:val="nil"/>
              <w:left w:val="nil"/>
              <w:bottom w:val="single" w:sz="8" w:space="0" w:color="000000"/>
              <w:right w:val="single" w:sz="8" w:space="0" w:color="000000"/>
            </w:tcBorders>
            <w:shd w:val="clear" w:color="auto" w:fill="auto"/>
            <w:vAlign w:val="center"/>
          </w:tcPr>
          <w:p w14:paraId="107BD385" w14:textId="77777777" w:rsidR="006041CA" w:rsidRDefault="001271CC">
            <w:pPr>
              <w:spacing w:after="120" w:line="360" w:lineRule="auto"/>
              <w:jc w:val="center"/>
              <w:rPr>
                <w:color w:val="000000"/>
              </w:rPr>
            </w:pPr>
            <w:r>
              <w:rPr>
                <w:color w:val="000000"/>
              </w:rPr>
              <w:t>0.735</w:t>
            </w:r>
          </w:p>
        </w:tc>
        <w:tc>
          <w:tcPr>
            <w:tcW w:w="1200" w:type="dxa"/>
            <w:tcBorders>
              <w:top w:val="nil"/>
              <w:left w:val="nil"/>
              <w:bottom w:val="single" w:sz="8" w:space="0" w:color="000000"/>
              <w:right w:val="single" w:sz="8" w:space="0" w:color="000000"/>
            </w:tcBorders>
            <w:shd w:val="clear" w:color="auto" w:fill="auto"/>
            <w:vAlign w:val="center"/>
          </w:tcPr>
          <w:p w14:paraId="796E4CAF" w14:textId="77777777" w:rsidR="006041CA" w:rsidRDefault="001271CC">
            <w:pPr>
              <w:spacing w:after="120" w:line="360" w:lineRule="auto"/>
              <w:jc w:val="center"/>
              <w:rPr>
                <w:color w:val="000000"/>
              </w:rPr>
            </w:pPr>
            <w:r>
              <w:rPr>
                <w:color w:val="000000"/>
              </w:rPr>
              <w:t>1</w:t>
            </w:r>
          </w:p>
        </w:tc>
        <w:tc>
          <w:tcPr>
            <w:tcW w:w="1200" w:type="dxa"/>
            <w:tcBorders>
              <w:top w:val="nil"/>
              <w:left w:val="nil"/>
              <w:bottom w:val="single" w:sz="8" w:space="0" w:color="000000"/>
              <w:right w:val="single" w:sz="8" w:space="0" w:color="000000"/>
            </w:tcBorders>
            <w:shd w:val="clear" w:color="auto" w:fill="auto"/>
            <w:vAlign w:val="center"/>
          </w:tcPr>
          <w:p w14:paraId="1780DEB2" w14:textId="77777777" w:rsidR="006041CA" w:rsidRDefault="001271CC">
            <w:pPr>
              <w:spacing w:after="120" w:line="360" w:lineRule="auto"/>
              <w:jc w:val="center"/>
              <w:rPr>
                <w:color w:val="000000"/>
              </w:rPr>
            </w:pPr>
            <w:r>
              <w:rPr>
                <w:color w:val="000000"/>
              </w:rPr>
              <w:t>1.265</w:t>
            </w:r>
          </w:p>
        </w:tc>
        <w:tc>
          <w:tcPr>
            <w:tcW w:w="1200" w:type="dxa"/>
            <w:tcBorders>
              <w:top w:val="nil"/>
              <w:left w:val="nil"/>
              <w:bottom w:val="single" w:sz="8" w:space="0" w:color="000000"/>
              <w:right w:val="single" w:sz="8" w:space="0" w:color="000000"/>
            </w:tcBorders>
            <w:shd w:val="clear" w:color="auto" w:fill="auto"/>
            <w:vAlign w:val="center"/>
          </w:tcPr>
          <w:p w14:paraId="45EC15BA" w14:textId="77777777" w:rsidR="006041CA" w:rsidRDefault="001271CC">
            <w:pPr>
              <w:spacing w:after="120" w:line="360" w:lineRule="auto"/>
              <w:jc w:val="center"/>
              <w:rPr>
                <w:color w:val="000000"/>
              </w:rPr>
            </w:pPr>
            <w:r>
              <w:rPr>
                <w:color w:val="000000"/>
              </w:rPr>
              <w:t>1.51</w:t>
            </w:r>
          </w:p>
        </w:tc>
        <w:tc>
          <w:tcPr>
            <w:tcW w:w="1200" w:type="dxa"/>
            <w:tcBorders>
              <w:top w:val="nil"/>
              <w:left w:val="nil"/>
              <w:bottom w:val="single" w:sz="8" w:space="0" w:color="000000"/>
              <w:right w:val="single" w:sz="8" w:space="0" w:color="000000"/>
            </w:tcBorders>
            <w:shd w:val="clear" w:color="auto" w:fill="auto"/>
            <w:vAlign w:val="center"/>
          </w:tcPr>
          <w:p w14:paraId="0D0A49DB" w14:textId="77777777" w:rsidR="006041CA" w:rsidRDefault="001271CC">
            <w:pPr>
              <w:spacing w:after="120" w:line="360" w:lineRule="auto"/>
              <w:jc w:val="center"/>
              <w:rPr>
                <w:color w:val="000000"/>
              </w:rPr>
            </w:pPr>
            <w:r>
              <w:rPr>
                <w:color w:val="000000"/>
              </w:rPr>
              <w:t>2</w:t>
            </w:r>
          </w:p>
        </w:tc>
      </w:tr>
    </w:tbl>
    <w:p w14:paraId="0642A47C" w14:textId="77777777" w:rsidR="006041CA" w:rsidRDefault="006041CA">
      <w:pPr>
        <w:spacing w:after="120" w:line="360" w:lineRule="auto"/>
        <w:jc w:val="both"/>
      </w:pPr>
    </w:p>
    <w:p w14:paraId="45ACCAD7" w14:textId="77777777" w:rsidR="006041CA" w:rsidRDefault="001271CC">
      <w:pPr>
        <w:spacing w:after="120" w:line="360" w:lineRule="auto"/>
        <w:jc w:val="both"/>
      </w:pPr>
      <w:r>
        <w:t>Como se observa, el costo efectividad respecto al ejercicio del FONE en el estado de Michoacán es de 1.00 debido a la población atendida respecto a la población objetivo, y con base en la Tabla de Valores ponderados incluida en los TdR de la presente evaluación.</w:t>
      </w:r>
    </w:p>
    <w:p w14:paraId="10EE70E0" w14:textId="77777777" w:rsidR="006041CA" w:rsidRDefault="001271CC">
      <w:pPr>
        <w:spacing w:after="120" w:line="360" w:lineRule="auto"/>
        <w:jc w:val="both"/>
      </w:pPr>
      <w:r>
        <w:t xml:space="preserve">De igual manera, se realiza el cálculo del Costo Efectividad para los ejercicios 2021 y 2022 donde es posible identificar que para el ejercicio fiscal 2021 se obtiene un resultado de 0.89 el cual es catalogado como “Aceptable de acuerdo a la Tabla de valores propuesta en los TdR. </w:t>
      </w:r>
    </w:p>
    <w:p w14:paraId="266D01E4" w14:textId="77777777" w:rsidR="006041CA" w:rsidRDefault="001271CC">
      <w:pPr>
        <w:spacing w:after="120" w:line="360" w:lineRule="auto"/>
        <w:jc w:val="both"/>
      </w:pPr>
      <w:r>
        <w:t>En lo que respecta al ejercicio 2022, se obtiene un resultado del Costo Efectividad de 1.00 el cual, de acuerdo a la Tabla de Valores es el resultado “Esperado” ya que, de acuerdo a los datos del recurso modificado y ejercido, así como las cifras de la población objetivo y atendida es que se obtiene dicho resultado.</w:t>
      </w:r>
    </w:p>
    <w:p w14:paraId="3EEE4A5D" w14:textId="77777777" w:rsidR="006041CA" w:rsidRDefault="001271CC">
      <w:pPr>
        <w:spacing w:after="120" w:line="360" w:lineRule="auto"/>
        <w:jc w:val="both"/>
      </w:pPr>
      <w:r>
        <w:t xml:space="preserve">Es por ello que se concluye que el ejercicio de los recursos del FONE se han destinado eficazmente para la atención de la población objetivo y atendida definidas en la Estrategia de Cobertura, además es importante señalar que se emiten los reportes de las cifras al término de cada ciclo educativo en el documento “Principales Cifras del Sistema Educativo Nacional”.  </w:t>
      </w:r>
    </w:p>
    <w:p w14:paraId="56A7B703" w14:textId="77777777" w:rsidR="006041CA" w:rsidRDefault="006041CA">
      <w:pPr>
        <w:spacing w:after="120" w:line="360" w:lineRule="auto"/>
        <w:jc w:val="both"/>
      </w:pPr>
    </w:p>
    <w:p w14:paraId="7B24D723" w14:textId="77777777" w:rsidR="006041CA" w:rsidRDefault="006041CA">
      <w:pPr>
        <w:spacing w:after="120" w:line="360" w:lineRule="auto"/>
        <w:jc w:val="both"/>
      </w:pPr>
    </w:p>
    <w:p w14:paraId="4F5E4CE1" w14:textId="77777777" w:rsidR="006041CA" w:rsidRDefault="006041CA">
      <w:pPr>
        <w:spacing w:after="120" w:line="360" w:lineRule="auto"/>
        <w:jc w:val="both"/>
      </w:pPr>
    </w:p>
    <w:p w14:paraId="6FB8349E" w14:textId="77777777" w:rsidR="006041CA" w:rsidRDefault="001271CC">
      <w:pPr>
        <w:spacing w:after="120" w:line="360" w:lineRule="auto"/>
        <w:rPr>
          <w:b/>
          <w:color w:val="000000"/>
        </w:rPr>
      </w:pPr>
      <w:r>
        <w:br w:type="page"/>
      </w:r>
    </w:p>
    <w:p w14:paraId="08C78C49" w14:textId="77777777" w:rsidR="006041CA" w:rsidRDefault="001271CC">
      <w:pPr>
        <w:spacing w:after="120" w:line="360" w:lineRule="auto"/>
        <w:jc w:val="both"/>
        <w:rPr>
          <w:b/>
          <w:color w:val="000000"/>
        </w:rPr>
      </w:pPr>
      <w:r>
        <w:rPr>
          <w:b/>
          <w:color w:val="000000"/>
        </w:rPr>
        <w:t>Pregunta 17. ¿Cuál es la relación costo-efectividad del Programa presupuestario financiado que componen el Programa estatal financiado con recursos del Fondo que se evalúa?</w:t>
      </w:r>
    </w:p>
    <w:p w14:paraId="6A5D7BCC" w14:textId="77777777" w:rsidR="006041CA" w:rsidRDefault="001271CC">
      <w:pPr>
        <w:spacing w:after="120" w:line="360" w:lineRule="auto"/>
        <w:jc w:val="both"/>
        <w:rPr>
          <w:b/>
        </w:rPr>
      </w:pPr>
      <w:r>
        <w:rPr>
          <w:b/>
        </w:rPr>
        <w:t>RESPUESTA:</w:t>
      </w:r>
    </w:p>
    <w:p w14:paraId="1F63328E" w14:textId="77777777" w:rsidR="006041CA" w:rsidRDefault="001271CC">
      <w:pPr>
        <w:spacing w:after="120" w:line="360" w:lineRule="auto"/>
        <w:jc w:val="both"/>
      </w:pPr>
      <w:r>
        <w:t>De acuerdo a la información de gabinete proporcionada, es posible identificar a la población objetivo y atendida en la entidad federativa, la cual fue de 847,184 alumnos</w:t>
      </w:r>
      <w:r>
        <w:rPr>
          <w:vertAlign w:val="superscript"/>
        </w:rPr>
        <w:footnoteReference w:id="31"/>
      </w:r>
      <w:r>
        <w:t xml:space="preserve"> de 3 a 15 años matriculados en escuelas públicas de Educación Básica en la entidad.</w:t>
      </w:r>
    </w:p>
    <w:p w14:paraId="3B972536" w14:textId="77777777" w:rsidR="006041CA" w:rsidRDefault="001271CC">
      <w:pPr>
        <w:spacing w:after="120" w:line="360" w:lineRule="auto"/>
        <w:jc w:val="both"/>
      </w:pPr>
      <w:r>
        <w:t>En cuanto a los recursos financieros del Fondo, el recurso pagado en el 2022 fue de $22,345,700,817.25 pesos, de acuerdo al reporte definitivo del ejercicio del gasto del SRFT 2023</w:t>
      </w:r>
      <w:r>
        <w:rPr>
          <w:vertAlign w:val="superscript"/>
        </w:rPr>
        <w:footnoteReference w:id="32"/>
      </w:r>
      <w:r>
        <w:t>.</w:t>
      </w:r>
    </w:p>
    <w:p w14:paraId="307B683A" w14:textId="77777777" w:rsidR="006041CA" w:rsidRDefault="001271CC">
      <w:pPr>
        <w:spacing w:after="120" w:line="360" w:lineRule="auto"/>
        <w:jc w:val="both"/>
      </w:pPr>
      <w:r>
        <w:t>De lo anterior, es que se calcula el costo promedio por beneficiario atendido con la siguiente fórmula:</w:t>
      </w:r>
    </w:p>
    <w:p w14:paraId="095A4A39" w14:textId="77777777" w:rsidR="006041CA" w:rsidRDefault="001271CC">
      <w:pPr>
        <w:spacing w:after="120" w:line="360" w:lineRule="auto"/>
        <w:jc w:val="center"/>
      </w:pPr>
      <w:r>
        <w:rPr>
          <w:rFonts w:ascii="Cambria Math" w:eastAsia="Cambria Math" w:hAnsi="Cambria Math" w:cs="Cambria Math"/>
        </w:rPr>
        <w:t>𝐶𝑃𝐵𝐴</w:t>
      </w:r>
      <w:r>
        <w:t xml:space="preserve"> = </w:t>
      </w:r>
      <w:r>
        <w:rPr>
          <w:rFonts w:ascii="Cambria Math" w:eastAsia="Cambria Math" w:hAnsi="Cambria Math" w:cs="Cambria Math"/>
        </w:rPr>
        <w:t>𝐺𝐼</w:t>
      </w:r>
      <w:r>
        <w:t xml:space="preserve"> / </w:t>
      </w:r>
      <w:r>
        <w:rPr>
          <w:rFonts w:ascii="Cambria Math" w:eastAsia="Cambria Math" w:hAnsi="Cambria Math" w:cs="Cambria Math"/>
        </w:rPr>
        <w:t>𝑃𝐴</w:t>
      </w:r>
    </w:p>
    <w:p w14:paraId="67DE1551" w14:textId="77777777" w:rsidR="006041CA" w:rsidRDefault="001271CC">
      <w:pPr>
        <w:spacing w:after="120" w:line="360" w:lineRule="auto"/>
        <w:jc w:val="both"/>
      </w:pPr>
      <w:r>
        <w:t>Donde:</w:t>
      </w:r>
    </w:p>
    <w:p w14:paraId="4DE4AF7F" w14:textId="77777777" w:rsidR="006041CA" w:rsidRDefault="001271CC">
      <w:pPr>
        <w:spacing w:after="120" w:line="360" w:lineRule="auto"/>
        <w:jc w:val="both"/>
      </w:pPr>
      <w:r>
        <w:t>CPBA: Costo Promedio por Beneficiario Atendido</w:t>
      </w:r>
    </w:p>
    <w:p w14:paraId="592D8AA1" w14:textId="77777777" w:rsidR="006041CA" w:rsidRDefault="001271CC">
      <w:pPr>
        <w:spacing w:after="120" w:line="360" w:lineRule="auto"/>
        <w:jc w:val="both"/>
      </w:pPr>
      <w:r>
        <w:t>GI: Gasto de total de inversión del año evaluado</w:t>
      </w:r>
    </w:p>
    <w:p w14:paraId="432C271E" w14:textId="77777777" w:rsidR="006041CA" w:rsidRDefault="001271CC">
      <w:pPr>
        <w:spacing w:after="120" w:line="360" w:lineRule="auto"/>
        <w:jc w:val="both"/>
      </w:pPr>
      <w:r>
        <w:t>PA: Población efectivamente atendida o beneficiada con los bienes y servicios generados con recursos del Fondo.</w:t>
      </w:r>
    </w:p>
    <w:p w14:paraId="0FE58191" w14:textId="77777777" w:rsidR="006041CA" w:rsidRDefault="001271CC">
      <w:pPr>
        <w:spacing w:after="120" w:line="360" w:lineRule="auto"/>
        <w:jc w:val="both"/>
      </w:pPr>
      <w:r>
        <w:t>Entonces, el Costo Promedio por Beneficiario Atendido del ejercicio fiscal 2023 es de $26,376.44 pesos.</w:t>
      </w:r>
    </w:p>
    <w:p w14:paraId="72A85F14" w14:textId="77777777" w:rsidR="006041CA" w:rsidRDefault="001271CC">
      <w:pPr>
        <w:spacing w:after="120" w:line="360" w:lineRule="auto"/>
        <w:jc w:val="both"/>
      </w:pPr>
      <w:r>
        <w:t>De igual manera, se realizó el mismo cálculo de la fórmula con los datos de los ejercicios fiscales 2021 y 2022, donde arrojan un resultado del Costo promedio por</w:t>
      </w:r>
      <w:r>
        <w:rPr>
          <w:highlight w:val="yellow"/>
        </w:rPr>
        <w:t xml:space="preserve"> Beneficiario</w:t>
      </w:r>
      <w:r>
        <w:t xml:space="preserve"> Atendido de $23,047.43 para el 2021 y $25,000.93 para el 2022. </w:t>
      </w:r>
    </w:p>
    <w:p w14:paraId="40548670" w14:textId="77777777" w:rsidR="006041CA" w:rsidRDefault="001271CC">
      <w:pPr>
        <w:spacing w:after="120" w:line="360" w:lineRule="auto"/>
        <w:jc w:val="both"/>
      </w:pPr>
      <w:r>
        <w:t>De esta información es posible observar que el Costo por Beneficiario Atendido en el periodo 2021-2023 ha incrementado, ya que se identifica una variación del 8.48% del 2022 con respecto al 2021 y un incremento del 5.5% del 2023 con respecto al 2022, cabe mencionar que dichos incrementos corresponden principalmente al aumento del recurso modificado del FONE y a la disminución de la población objetivo.</w:t>
      </w:r>
      <w:r>
        <w:br w:type="page"/>
      </w:r>
    </w:p>
    <w:p w14:paraId="05B6606A"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409D814C"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757622B0" w14:textId="77777777" w:rsidR="006041CA" w:rsidRDefault="006041CA">
      <w:pPr>
        <w:spacing w:after="120" w:line="360" w:lineRule="auto"/>
      </w:pPr>
    </w:p>
    <w:p w14:paraId="501DB139"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1E24B824"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01B90E28" w14:textId="77777777" w:rsidR="006041CA" w:rsidRDefault="006041CA">
      <w:pPr>
        <w:spacing w:after="120" w:line="360" w:lineRule="auto"/>
      </w:pPr>
    </w:p>
    <w:p w14:paraId="3360B62D" w14:textId="77777777" w:rsidR="006041CA" w:rsidRDefault="001271CC">
      <w:pPr>
        <w:pStyle w:val="Ttulo1"/>
        <w:spacing w:before="0" w:after="120" w:line="360" w:lineRule="auto"/>
        <w:jc w:val="center"/>
        <w:rPr>
          <w:rFonts w:ascii="Calibri" w:eastAsia="Calibri" w:hAnsi="Calibri" w:cs="Calibri"/>
          <w:b/>
          <w:color w:val="660033"/>
          <w:sz w:val="52"/>
          <w:szCs w:val="52"/>
        </w:rPr>
      </w:pPr>
      <w:bookmarkStart w:id="5" w:name="_heading=h.2et92p0" w:colFirst="0" w:colLast="0"/>
      <w:bookmarkEnd w:id="5"/>
      <w:r>
        <w:rPr>
          <w:rFonts w:ascii="Calibri" w:eastAsia="Calibri" w:hAnsi="Calibri" w:cs="Calibri"/>
          <w:b/>
          <w:color w:val="660033"/>
          <w:sz w:val="52"/>
          <w:szCs w:val="52"/>
        </w:rPr>
        <w:t>Tema V. Seguimiento a los Aspectos Susceptibles de Mejora</w:t>
      </w:r>
    </w:p>
    <w:p w14:paraId="2039A52F" w14:textId="77777777" w:rsidR="006041CA" w:rsidRDefault="001271CC">
      <w:pPr>
        <w:spacing w:after="120" w:line="360" w:lineRule="auto"/>
      </w:pPr>
      <w:r>
        <w:br w:type="page"/>
      </w:r>
    </w:p>
    <w:p w14:paraId="5E82B578" w14:textId="77777777" w:rsidR="006041CA" w:rsidRDefault="001271CC">
      <w:pPr>
        <w:spacing w:after="120" w:line="360" w:lineRule="auto"/>
        <w:jc w:val="both"/>
        <w:rPr>
          <w:b/>
        </w:rPr>
      </w:pPr>
      <w:r>
        <w:rPr>
          <w:b/>
        </w:rPr>
        <w:t>Pregunta 18. Como parte de la evaluación realizada en el 2022 ¿se emitieron recomendaciones de mejora para ser atendidas en el 2023?</w:t>
      </w:r>
    </w:p>
    <w:p w14:paraId="57789BAD" w14:textId="77777777" w:rsidR="006041CA" w:rsidRDefault="001271CC">
      <w:pPr>
        <w:spacing w:after="120" w:line="360" w:lineRule="auto"/>
        <w:jc w:val="both"/>
        <w:rPr>
          <w:b/>
        </w:rPr>
      </w:pPr>
      <w:r>
        <w:rPr>
          <w:b/>
        </w:rPr>
        <w:t>RESPUESTA: SÍ</w:t>
      </w:r>
    </w:p>
    <w:p w14:paraId="48F928F1" w14:textId="77777777" w:rsidR="006041CA" w:rsidRDefault="001271CC">
      <w:pPr>
        <w:spacing w:after="120" w:line="360" w:lineRule="auto"/>
        <w:jc w:val="both"/>
      </w:pPr>
      <w:r>
        <w:t>En el ejercicio fiscal inmediato anterior se realizó la Evaluación de la Gestión Institucional con Enfoque de Resultados del Programa presupuestario Educación Básica financiado con recursos del FONE de la cual se emitieron las siguientes recomendaciones:</w:t>
      </w:r>
    </w:p>
    <w:p w14:paraId="19A49160" w14:textId="77777777" w:rsidR="006041CA" w:rsidRDefault="001271CC">
      <w:pPr>
        <w:numPr>
          <w:ilvl w:val="0"/>
          <w:numId w:val="10"/>
        </w:numPr>
        <w:pBdr>
          <w:top w:val="nil"/>
          <w:left w:val="nil"/>
          <w:bottom w:val="nil"/>
          <w:right w:val="nil"/>
          <w:between w:val="nil"/>
        </w:pBdr>
        <w:spacing w:after="120" w:line="360" w:lineRule="auto"/>
        <w:jc w:val="both"/>
        <w:rPr>
          <w:color w:val="000000"/>
        </w:rPr>
      </w:pPr>
      <w:r>
        <w:rPr>
          <w:color w:val="000000"/>
        </w:rPr>
        <w:t>Emitir un Programa Estratégico Institucional donde se integre un diagnóstico situacional o un FODA referente a la planeación estratégica, con el objeto de cumplir con la normatividad en materia de Planeación, definir objetivos por alcanzar contemplando el mediano o largo plazo; así como indicadores para medir el avance y logro de las metas de los objetivos institucionales definidos.</w:t>
      </w:r>
    </w:p>
    <w:p w14:paraId="5969D1F6" w14:textId="77777777" w:rsidR="006041CA" w:rsidRDefault="001271CC">
      <w:pPr>
        <w:numPr>
          <w:ilvl w:val="0"/>
          <w:numId w:val="10"/>
        </w:numPr>
        <w:pBdr>
          <w:top w:val="nil"/>
          <w:left w:val="nil"/>
          <w:bottom w:val="nil"/>
          <w:right w:val="nil"/>
          <w:between w:val="nil"/>
        </w:pBdr>
        <w:spacing w:after="120" w:line="360" w:lineRule="auto"/>
        <w:jc w:val="both"/>
        <w:rPr>
          <w:color w:val="000000"/>
        </w:rPr>
      </w:pPr>
      <w:r>
        <w:rPr>
          <w:color w:val="000000"/>
        </w:rPr>
        <w:t>Documentar una estrategia de cobertura donde se defina y cuantifique a la población potencial, objetivo y atendida por del Pp financiado con recursos del FONE, con la finalidad de medir y conocer las situaciones de cambio generadas con la entrega de los bienes y/o servicios que lo componen.</w:t>
      </w:r>
    </w:p>
    <w:p w14:paraId="4BA8AC26" w14:textId="77777777" w:rsidR="006041CA" w:rsidRDefault="001271CC">
      <w:pPr>
        <w:numPr>
          <w:ilvl w:val="0"/>
          <w:numId w:val="10"/>
        </w:numPr>
        <w:pBdr>
          <w:top w:val="nil"/>
          <w:left w:val="nil"/>
          <w:bottom w:val="nil"/>
          <w:right w:val="nil"/>
          <w:between w:val="nil"/>
        </w:pBdr>
        <w:spacing w:after="120" w:line="360" w:lineRule="auto"/>
        <w:jc w:val="both"/>
        <w:rPr>
          <w:color w:val="000000"/>
          <w:sz w:val="24"/>
          <w:szCs w:val="24"/>
        </w:rPr>
      </w:pPr>
      <w:r>
        <w:rPr>
          <w:color w:val="000000"/>
        </w:rPr>
        <w:t>Aplicar mejoras a partir de un análisis FODA institucional e identificar cuáles fueron las fortalezas que se tuvieron en el 2018 y 2019, con cuáles oportunidades se atendieron las debilidades, y cómo se sortearon las amenazas.</w:t>
      </w:r>
    </w:p>
    <w:p w14:paraId="20E10938" w14:textId="77777777" w:rsidR="006041CA" w:rsidRDefault="001271CC">
      <w:pPr>
        <w:spacing w:after="120" w:line="360" w:lineRule="auto"/>
        <w:jc w:val="both"/>
      </w:pPr>
      <w:r>
        <w:t>De las recomendaciones enlistadas se cuenta con evidencia documental respecto a su atención y seguimiento con la finalidad de mejorar la gestión del Programa presupuestario SE01 Educación Básica.</w:t>
      </w:r>
    </w:p>
    <w:p w14:paraId="742B73E5" w14:textId="77777777" w:rsidR="006041CA" w:rsidRDefault="001271CC">
      <w:pPr>
        <w:spacing w:after="120" w:line="360" w:lineRule="auto"/>
      </w:pPr>
      <w:r>
        <w:br w:type="page"/>
      </w:r>
    </w:p>
    <w:p w14:paraId="420A0E21" w14:textId="77777777" w:rsidR="006041CA" w:rsidRDefault="001271CC">
      <w:pPr>
        <w:spacing w:after="120" w:line="360" w:lineRule="auto"/>
        <w:jc w:val="both"/>
        <w:rPr>
          <w:b/>
        </w:rPr>
      </w:pPr>
      <w:r>
        <w:rPr>
          <w:b/>
        </w:rPr>
        <w:t xml:space="preserve">Pregunta 19. En caso que la respuesta a la pregunta anterior sea afirmativa ¿Existe evidencia de que las recomendaciones fueron clasificadas y atendidas de acuerdo con lo establecido en el Mecanismo para el seguimiento de los aspectos susceptibles de mejora emitido por la Unidad de Planeación y Evaluación del </w:t>
      </w:r>
    </w:p>
    <w:p w14:paraId="16CCDE3C" w14:textId="77777777" w:rsidR="006041CA" w:rsidRDefault="001271CC">
      <w:pPr>
        <w:spacing w:after="120" w:line="360" w:lineRule="auto"/>
        <w:jc w:val="both"/>
        <w:rPr>
          <w:b/>
        </w:rPr>
      </w:pPr>
      <w:r>
        <w:rPr>
          <w:b/>
        </w:rPr>
        <w:t>RESPUESTA: SÍ</w:t>
      </w:r>
    </w:p>
    <w:p w14:paraId="4C7659E5" w14:textId="77777777" w:rsidR="006041CA" w:rsidRDefault="001271CC">
      <w:pPr>
        <w:spacing w:after="120" w:line="360" w:lineRule="auto"/>
        <w:jc w:val="both"/>
      </w:pPr>
      <w:r>
        <w:t>De acuerdo a la información de gabinete con la que se cuenta es posible identificar que en el documento de Posición Institucional</w:t>
      </w:r>
      <w:r>
        <w:rPr>
          <w:vertAlign w:val="superscript"/>
        </w:rPr>
        <w:footnoteReference w:id="33"/>
      </w:r>
      <w:r>
        <w:t xml:space="preserve"> se clasificaron las recomendaciones emitidas en el reporte de Evaluación de la Gestión Institucional con Enfoque de Resultados del Programa presupuestario Educación Básica financiado con recursos del FONE correspondiente al ejercicio fiscal 2022, además de que las recomendaciones fueron aceptadas por el Ente Público encargado del Programa presupuestario.</w:t>
      </w:r>
    </w:p>
    <w:p w14:paraId="73638593" w14:textId="77777777" w:rsidR="006041CA" w:rsidRDefault="001271CC">
      <w:pPr>
        <w:spacing w:after="120" w:line="360" w:lineRule="auto"/>
        <w:jc w:val="both"/>
      </w:pPr>
      <w:r>
        <w:t>De igual manera se cuenta con el Formato Anexo E Avance del Documento Institucional</w:t>
      </w:r>
      <w:r>
        <w:rPr>
          <w:vertAlign w:val="superscript"/>
        </w:rPr>
        <w:footnoteReference w:id="34"/>
      </w:r>
      <w:r>
        <w:t xml:space="preserve"> en el cual se describen las Actividades a realizar para dar el seguimiento a la atención de los ASM, el área responsable, el resultado esperado el porcentaje de atención y algunos comentarios respecto al seguimiento. Derivado de este documento y de acuerdo a que la información corresponde al 2° trimestre, sólo se ha dado el seguimiento a uno de los tres ASM, reportando un 20% de atención.</w:t>
      </w:r>
    </w:p>
    <w:p w14:paraId="4C083B02" w14:textId="77777777" w:rsidR="006041CA" w:rsidRDefault="001271CC">
      <w:pPr>
        <w:spacing w:after="120" w:line="360" w:lineRule="auto"/>
        <w:jc w:val="both"/>
        <w:rPr>
          <w:highlight w:val="magenta"/>
        </w:rPr>
      </w:pPr>
      <w:r>
        <w:rPr>
          <w:highlight w:val="magenta"/>
        </w:rPr>
        <w:t>La Actividad que se ha reportado un avance es: Se realizará la actualización de la estadística 911, y se complementará con la información de la población potencial y objetivo y atendida; esta Actividad corresponde al ASM “Documentar una estrategia de cobertura donde se defina y cuantifique a la población potencial, objetivo y atendida por del Pp financiado con recursos del FONE, con la finalidad de medir y conocer las situaciones de cambio generadas con la entrega de los bienes y/o servicios que lo componen” (Ver Formato 18 del Anexo 5).</w:t>
      </w:r>
    </w:p>
    <w:p w14:paraId="72CC9710" w14:textId="77777777" w:rsidR="006041CA" w:rsidRDefault="006041CA">
      <w:pPr>
        <w:spacing w:after="120" w:line="360" w:lineRule="auto"/>
      </w:pPr>
    </w:p>
    <w:p w14:paraId="2DCC2AC3" w14:textId="77777777" w:rsidR="006041CA" w:rsidRDefault="006041CA">
      <w:pPr>
        <w:spacing w:after="120" w:line="360" w:lineRule="auto"/>
        <w:jc w:val="both"/>
      </w:pPr>
    </w:p>
    <w:p w14:paraId="0C914EB0" w14:textId="77777777" w:rsidR="006041CA" w:rsidRDefault="006041CA">
      <w:pPr>
        <w:spacing w:after="120" w:line="360" w:lineRule="auto"/>
      </w:pPr>
    </w:p>
    <w:p w14:paraId="3D84733B" w14:textId="77777777" w:rsidR="006041CA" w:rsidRDefault="001271CC">
      <w:pPr>
        <w:spacing w:after="120" w:line="360" w:lineRule="auto"/>
        <w:rPr>
          <w:b/>
        </w:rPr>
      </w:pPr>
      <w:r>
        <w:br w:type="page"/>
      </w:r>
    </w:p>
    <w:p w14:paraId="1D45683E" w14:textId="77777777" w:rsidR="006041CA" w:rsidRDefault="001271CC">
      <w:pPr>
        <w:spacing w:after="120" w:line="360" w:lineRule="auto"/>
        <w:jc w:val="both"/>
        <w:rPr>
          <w:b/>
        </w:rPr>
      </w:pPr>
      <w:r>
        <w:rPr>
          <w:b/>
        </w:rPr>
        <w:t>Pregunta 20. ¿Los aspectos susceptibles de mejora definidos como producto del análisis de las recomendaciones son pertinentes con éstas e incluyen las Actividades necesarias para su cumplimiento?</w:t>
      </w:r>
    </w:p>
    <w:p w14:paraId="0ABCC2C8" w14:textId="77777777" w:rsidR="006041CA" w:rsidRDefault="001271CC">
      <w:pPr>
        <w:spacing w:after="120" w:line="360" w:lineRule="auto"/>
        <w:jc w:val="both"/>
        <w:rPr>
          <w:b/>
        </w:rPr>
      </w:pPr>
      <w:r>
        <w:rPr>
          <w:b/>
        </w:rPr>
        <w:t>RESPUESTA: SÍ</w:t>
      </w:r>
    </w:p>
    <w:p w14:paraId="0689253D" w14:textId="77777777" w:rsidR="006041CA" w:rsidRDefault="001271CC">
      <w:pPr>
        <w:spacing w:after="120" w:line="360" w:lineRule="auto"/>
        <w:jc w:val="both"/>
      </w:pPr>
      <w:r>
        <w:t>De acuerdo con la información contenida en los documentos de posición institucional</w:t>
      </w:r>
      <w:r>
        <w:rPr>
          <w:vertAlign w:val="superscript"/>
        </w:rPr>
        <w:footnoteReference w:id="35"/>
      </w:r>
      <w:r>
        <w:t xml:space="preserve"> y el documento de seguimiento de los ASM</w:t>
      </w:r>
      <w:r>
        <w:rPr>
          <w:vertAlign w:val="superscript"/>
        </w:rPr>
        <w:footnoteReference w:id="36"/>
      </w:r>
      <w:r>
        <w:t xml:space="preserve"> las recomendaciones emitidas en la Evaluación de la Gestión Institucional con Enfoque de Resultados del Programa presupuestario Educación Básica financiado con recursos del FONE correspondiente al ejercicio fiscal 2022 se validaron en su totalidad además de que se incluyeron en dichos formatos de seguimiento y atención tal cual se redactaron el informe, por lo cual sí presenta congruencia entre las recomendaciones emitidas con los ASM en proceso de atención.</w:t>
      </w:r>
    </w:p>
    <w:p w14:paraId="56663993" w14:textId="77777777" w:rsidR="006041CA" w:rsidRDefault="001271CC">
      <w:pPr>
        <w:spacing w:after="120" w:line="360" w:lineRule="auto"/>
        <w:jc w:val="both"/>
      </w:pPr>
      <w:r>
        <w:t>Por otro lado, en el documento de Seguimiento de los ASM es posible identificar las Actividades que se definen para dar la atención a los ASM clasificados, además de que se señala el porcentaje de cumplimiento</w:t>
      </w:r>
      <w:r>
        <w:rPr>
          <w:vertAlign w:val="superscript"/>
        </w:rPr>
        <w:footnoteReference w:id="37"/>
      </w:r>
      <w:r>
        <w:t xml:space="preserve">, el área responsable y el producto que se obtendrá al término de la atención del ASM. </w:t>
      </w:r>
    </w:p>
    <w:p w14:paraId="2ABBA0E2" w14:textId="77777777" w:rsidR="006041CA" w:rsidRDefault="001271CC">
      <w:pPr>
        <w:spacing w:after="120" w:line="360" w:lineRule="auto"/>
        <w:jc w:val="both"/>
        <w:rPr>
          <w:highlight w:val="magenta"/>
        </w:rPr>
      </w:pPr>
      <w:r>
        <w:rPr>
          <w:highlight w:val="magenta"/>
        </w:rPr>
        <w:t>Se definió una Actividad por cada uno de los ASM aceptados en el documento de Posición Institucionales las cuales son:</w:t>
      </w:r>
    </w:p>
    <w:p w14:paraId="7B17C7D4" w14:textId="77777777" w:rsidR="006041CA" w:rsidRDefault="001271CC">
      <w:pPr>
        <w:numPr>
          <w:ilvl w:val="0"/>
          <w:numId w:val="11"/>
        </w:numPr>
        <w:pBdr>
          <w:top w:val="nil"/>
          <w:left w:val="nil"/>
          <w:bottom w:val="nil"/>
          <w:right w:val="nil"/>
          <w:between w:val="nil"/>
        </w:pBdr>
        <w:spacing w:after="120" w:line="360" w:lineRule="auto"/>
        <w:ind w:left="714" w:hanging="357"/>
        <w:jc w:val="both"/>
        <w:rPr>
          <w:color w:val="000000"/>
        </w:rPr>
      </w:pPr>
      <w:r>
        <w:rPr>
          <w:color w:val="000000"/>
          <w:highlight w:val="magenta"/>
        </w:rPr>
        <w:t xml:space="preserve">En el documento anterior se identifica que se definió una Actividad para cada ASM las cuales son </w:t>
      </w:r>
      <w:r>
        <w:rPr>
          <w:highlight w:val="magenta"/>
        </w:rPr>
        <w:t>realizar</w:t>
      </w:r>
      <w:r>
        <w:rPr>
          <w:color w:val="000000"/>
          <w:highlight w:val="magenta"/>
        </w:rPr>
        <w:t xml:space="preserve"> reuniones de trabajo con la Coordinación de Planeación y Evaluación para realizar el </w:t>
      </w:r>
      <w:r>
        <w:rPr>
          <w:highlight w:val="magenta"/>
        </w:rPr>
        <w:t>diagnóstico</w:t>
      </w:r>
      <w:r>
        <w:rPr>
          <w:color w:val="000000"/>
          <w:highlight w:val="magenta"/>
        </w:rPr>
        <w:t xml:space="preserve"> situacional o FODA referente a las áreas encargadas de la planeación</w:t>
      </w:r>
      <w:r>
        <w:rPr>
          <w:color w:val="000000"/>
        </w:rPr>
        <w:t>.</w:t>
      </w:r>
    </w:p>
    <w:p w14:paraId="5A5A0607" w14:textId="77777777" w:rsidR="006041CA" w:rsidRDefault="001271CC">
      <w:pPr>
        <w:numPr>
          <w:ilvl w:val="0"/>
          <w:numId w:val="11"/>
        </w:numPr>
        <w:pBdr>
          <w:top w:val="nil"/>
          <w:left w:val="nil"/>
          <w:bottom w:val="nil"/>
          <w:right w:val="nil"/>
          <w:between w:val="nil"/>
        </w:pBdr>
        <w:spacing w:after="120" w:line="360" w:lineRule="auto"/>
        <w:ind w:left="714" w:hanging="357"/>
        <w:jc w:val="both"/>
        <w:rPr>
          <w:color w:val="000000"/>
        </w:rPr>
      </w:pPr>
      <w:r>
        <w:rPr>
          <w:color w:val="000000"/>
        </w:rPr>
        <w:t xml:space="preserve">Se realizará la actualización de la estadística 911, y se complementará con la información de la población potencial y </w:t>
      </w:r>
      <w:r>
        <w:rPr>
          <w:highlight w:val="yellow"/>
        </w:rPr>
        <w:t>objetivo atendida</w:t>
      </w:r>
      <w:r>
        <w:rPr>
          <w:color w:val="000000"/>
          <w:highlight w:val="yellow"/>
        </w:rPr>
        <w:t>.</w:t>
      </w:r>
    </w:p>
    <w:p w14:paraId="4AA617AE" w14:textId="77777777" w:rsidR="006041CA" w:rsidRDefault="001271CC">
      <w:pPr>
        <w:numPr>
          <w:ilvl w:val="0"/>
          <w:numId w:val="11"/>
        </w:numPr>
        <w:pBdr>
          <w:top w:val="nil"/>
          <w:left w:val="nil"/>
          <w:bottom w:val="nil"/>
          <w:right w:val="nil"/>
          <w:between w:val="nil"/>
        </w:pBdr>
        <w:spacing w:after="120" w:line="360" w:lineRule="auto"/>
        <w:ind w:left="714" w:hanging="357"/>
        <w:jc w:val="both"/>
        <w:rPr>
          <w:color w:val="000000"/>
        </w:rPr>
      </w:pPr>
      <w:r>
        <w:rPr>
          <w:color w:val="000000"/>
        </w:rPr>
        <w:t xml:space="preserve">Se realizarán reuniones de trabajo con la Coordinación de Planeación y Evaluación Educativa para realizar el </w:t>
      </w:r>
      <w:r>
        <w:rPr>
          <w:highlight w:val="yellow"/>
        </w:rPr>
        <w:t>diagnóstico</w:t>
      </w:r>
      <w:r>
        <w:rPr>
          <w:color w:val="000000"/>
        </w:rPr>
        <w:t xml:space="preserve"> situacional o FODA, referente a las áreas encargadas de la planeación, además de solicitar a las mismas los resultados de los años 2018 y 2019 respecto a las oportunidades y debilidades en esos ejercicios fiscales.</w:t>
      </w:r>
    </w:p>
    <w:p w14:paraId="60E73F95" w14:textId="77777777" w:rsidR="006041CA" w:rsidRDefault="001271CC">
      <w:pPr>
        <w:spacing w:after="120" w:line="360" w:lineRule="auto"/>
        <w:jc w:val="both"/>
      </w:pPr>
      <w:r>
        <w:t>De las Actividades enlistadas es posible identificar que hasta el momento (2° Trimestre, fecha 13 de mayo 2024) sólo se ha dado el seguimiento a la Actividad 2, reportando el 20% de atención; no obstante, se reporta una fecha de cumplimiento al 4/10/2024 lo cual justifica el grado cumplimiento y seguimiento de los ASM.</w:t>
      </w:r>
      <w:r>
        <w:br w:type="page"/>
      </w:r>
    </w:p>
    <w:p w14:paraId="227F1B03"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013BFA71" w14:textId="77777777" w:rsidR="006041CA" w:rsidRDefault="006041CA">
      <w:pPr>
        <w:spacing w:after="120" w:line="360" w:lineRule="auto"/>
      </w:pPr>
    </w:p>
    <w:p w14:paraId="750364F0" w14:textId="77777777" w:rsidR="006041CA" w:rsidRDefault="006041CA">
      <w:pPr>
        <w:spacing w:after="120" w:line="360" w:lineRule="auto"/>
      </w:pPr>
    </w:p>
    <w:p w14:paraId="1E444B9E"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3D15B827"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05467C26"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7C157852" w14:textId="77777777" w:rsidR="006041CA" w:rsidRDefault="001271CC">
      <w:pPr>
        <w:pStyle w:val="Ttulo1"/>
        <w:spacing w:before="0" w:after="120" w:line="360" w:lineRule="auto"/>
        <w:jc w:val="center"/>
        <w:rPr>
          <w:rFonts w:ascii="Calibri" w:eastAsia="Calibri" w:hAnsi="Calibri" w:cs="Calibri"/>
          <w:b/>
          <w:color w:val="660033"/>
          <w:sz w:val="52"/>
          <w:szCs w:val="52"/>
        </w:rPr>
      </w:pPr>
      <w:bookmarkStart w:id="6" w:name="_heading=h.tyjcwt" w:colFirst="0" w:colLast="0"/>
      <w:bookmarkEnd w:id="6"/>
      <w:r>
        <w:rPr>
          <w:rFonts w:ascii="Calibri" w:eastAsia="Calibri" w:hAnsi="Calibri" w:cs="Calibri"/>
          <w:b/>
          <w:color w:val="660033"/>
          <w:sz w:val="52"/>
          <w:szCs w:val="52"/>
        </w:rPr>
        <w:t>Tema VI. Conclusiones</w:t>
      </w:r>
    </w:p>
    <w:p w14:paraId="5EB5DCAB" w14:textId="77777777" w:rsidR="006041CA" w:rsidRDefault="001271CC">
      <w:pPr>
        <w:spacing w:after="120" w:line="360" w:lineRule="auto"/>
        <w:rPr>
          <w:b/>
          <w:color w:val="000000"/>
          <w:sz w:val="52"/>
          <w:szCs w:val="52"/>
        </w:rPr>
      </w:pPr>
      <w:r>
        <w:br w:type="page"/>
      </w:r>
    </w:p>
    <w:p w14:paraId="01DF8822" w14:textId="77777777" w:rsidR="006041CA" w:rsidRDefault="001271CC">
      <w:pPr>
        <w:spacing w:after="120" w:line="360" w:lineRule="auto"/>
        <w:jc w:val="both"/>
        <w:rPr>
          <w:b/>
        </w:rPr>
      </w:pPr>
      <w:r>
        <w:rPr>
          <w:b/>
        </w:rPr>
        <w:t xml:space="preserve">Resultados </w:t>
      </w:r>
    </w:p>
    <w:p w14:paraId="77762510" w14:textId="77777777" w:rsidR="006041CA" w:rsidRDefault="001271CC">
      <w:pPr>
        <w:spacing w:after="120" w:line="360" w:lineRule="auto"/>
        <w:jc w:val="both"/>
      </w:pPr>
      <w:r>
        <w:t>Tras analizar la información, se concluye que el objetivo del Programa Presupuestario AE01 Educación Básica está alineado y es congruente con los objetivos de desarrollo establecidos tanto en la normatividad estatal como en la federal, asimismo, los objetivos definidos a nivel de Componente en la Matriz de Indicadores para Resultados (MIR) del Programa son consistentes con los objetivos de gestión de la MIR federal del FONE.</w:t>
      </w:r>
    </w:p>
    <w:p w14:paraId="0A78D72C" w14:textId="77777777" w:rsidR="006041CA" w:rsidRDefault="001271CC">
      <w:pPr>
        <w:spacing w:after="120" w:line="360" w:lineRule="auto"/>
        <w:jc w:val="both"/>
      </w:pPr>
      <w:r>
        <w:t>Del mismo modo, se valida la relevancia de los indicadores estratégicos tanto del Programa Presupuestario como de los establecidos en la MIR federal del FONE, además, se confirma el cumplimiento de los criterios CREMAA definidos por el CONAC. También se observa que el documento de planeación institucional, representado por la estrategia de cobertura, incluye la definición y cuantificación de las poblaciones potencial, objetivo y atendida; en cuanto al proceso de planeación del Programa Presupuestario evaluado, se verifica la evaluabilidad de cada uno de los niveles de desempeño definidos en la MIR.</w:t>
      </w:r>
    </w:p>
    <w:p w14:paraId="58E35CDE" w14:textId="77777777" w:rsidR="006041CA" w:rsidRDefault="001271CC">
      <w:pPr>
        <w:spacing w:after="120" w:line="360" w:lineRule="auto"/>
        <w:jc w:val="both"/>
        <w:rPr>
          <w:b/>
        </w:rPr>
      </w:pPr>
      <w:r>
        <w:rPr>
          <w:b/>
        </w:rPr>
        <w:t>Productos</w:t>
      </w:r>
    </w:p>
    <w:p w14:paraId="256E9F18" w14:textId="77777777" w:rsidR="006041CA" w:rsidRDefault="001271CC">
      <w:pPr>
        <w:spacing w:after="120" w:line="360" w:lineRule="auto"/>
        <w:jc w:val="both"/>
      </w:pPr>
      <w:r>
        <w:t>Ninguno de los indicadores a nivel de Componente de la MIR del Programa evalúa las dimensiones de Eficiencia o Calidad, por ello, se recomienda que al menos uno de estos indicadores considere dichas dimensiones, en cumplimiento con lo establecido en la Guía para el Diseño de la Matriz de Indicadores para Resultados; no obstante, se valida que el comportamiento de estos indicadores durante el periodo 2021-2023 ha sido positivo, ya que se alcanzó la mayoría de las metas Programadas.</w:t>
      </w:r>
    </w:p>
    <w:p w14:paraId="1FDA2B85" w14:textId="77777777" w:rsidR="006041CA" w:rsidRDefault="001271CC">
      <w:pPr>
        <w:spacing w:after="120" w:line="360" w:lineRule="auto"/>
        <w:jc w:val="both"/>
      </w:pPr>
      <w:r>
        <w:t>En consecuencia, se concluye que, en lo referente a los productos y la entrega de bienes y/o servicios del Programa AE01 Educación Básica, se ha cumplido con lo planificado, los resultados de los indicadores definidos para el periodo 2021-2023 reflejan un adecuado nivel de gestión y desempeño del Programa, lo que contribuye al cumplimiento de los objetivos de la MIR. Sin embargo, se identifican áreas de oportunidad en cuanto a la temporalidad de la obtención de información que alimenta los indicadores, aunque se infiere que esta es anual, es importante especificarla claramente para evitar cualquier ambigüedad.</w:t>
      </w:r>
    </w:p>
    <w:p w14:paraId="0FC451F4" w14:textId="77777777" w:rsidR="006041CA" w:rsidRDefault="001271CC">
      <w:pPr>
        <w:spacing w:after="120" w:line="360" w:lineRule="auto"/>
        <w:jc w:val="both"/>
        <w:rPr>
          <w:b/>
        </w:rPr>
      </w:pPr>
      <w:r>
        <w:rPr>
          <w:b/>
        </w:rPr>
        <w:t>Presupuesto</w:t>
      </w:r>
    </w:p>
    <w:p w14:paraId="7988BFCD" w14:textId="77777777" w:rsidR="006041CA" w:rsidRDefault="001271CC">
      <w:pPr>
        <w:spacing w:after="120" w:line="360" w:lineRule="auto"/>
        <w:jc w:val="both"/>
      </w:pPr>
      <w:r>
        <w:t>Con base en la información de los reportes financieros, se concluye que los recursos del FONE durante el periodo analizado (2021-2023) se han ejercido conforme a lo establecido en su normatividad, cumpliendo con los objetivos definidos a nivel de Componentes en la MIR del Programa Presupuestario.</w:t>
      </w:r>
    </w:p>
    <w:p w14:paraId="0E33043A" w14:textId="77777777" w:rsidR="006041CA" w:rsidRDefault="001271CC">
      <w:pPr>
        <w:spacing w:after="120" w:line="360" w:lineRule="auto"/>
        <w:jc w:val="both"/>
      </w:pPr>
      <w:r>
        <w:t>Asimismo, se observa que el comportamiento de los recursos del Fondo destinados al Programa AE01 Educación Básica muestra una tendencia creciente, ya que los recursos modificados han aumentado en cada uno de los ejercicios analizados, en consecuencia, los recursos ejercidos también han incrementado, con un nivel de ejecución notablemente alto, por ejemplo, en 2023 se ejerció el 99.96% del recurso devengado.</w:t>
      </w:r>
    </w:p>
    <w:p w14:paraId="5635D626" w14:textId="77777777" w:rsidR="006041CA" w:rsidRDefault="001271CC">
      <w:pPr>
        <w:spacing w:after="120" w:line="360" w:lineRule="auto"/>
        <w:jc w:val="both"/>
        <w:rPr>
          <w:b/>
        </w:rPr>
      </w:pPr>
      <w:r>
        <w:rPr>
          <w:b/>
        </w:rPr>
        <w:t>Cobertura</w:t>
      </w:r>
    </w:p>
    <w:p w14:paraId="6A6548AB" w14:textId="77777777" w:rsidR="006041CA" w:rsidRDefault="001271CC">
      <w:pPr>
        <w:spacing w:after="120" w:line="360" w:lineRule="auto"/>
        <w:jc w:val="both"/>
      </w:pPr>
      <w:r>
        <w:t>De acuerdo con la información de gabinete y en documentos oficiales como “Principales Cifras del Sistema Educativo Nacional”, se ha calculado que la eficiencia de cobertura anual del Programa Presupuestario para el ejercicio 2023 fue del 100%, además, se identifica un incremento en la Eficiencia de Cobertura durante el periodo 2021-2023, pasando de un 98.21% en 2021 a un 100% en 2022, resultado que se mantuvo en 2023.</w:t>
      </w:r>
    </w:p>
    <w:p w14:paraId="4AA1B24B" w14:textId="77777777" w:rsidR="006041CA" w:rsidRDefault="001271CC">
      <w:pPr>
        <w:spacing w:after="120" w:line="360" w:lineRule="auto"/>
        <w:jc w:val="both"/>
      </w:pPr>
      <w:r>
        <w:t>Por otro lado, se estimó el costo promedio por beneficiario atendido en el ejercicio fiscal 2023, que asciende a $26,376.44 pesos; asimismo, el costo-efectividad respecto al ejercicio del FONE en el estado de Michoacán es de 1.00, calculado con base en la relación entre la población atendida y la población objetivo, conforme a la Tabla de Valores Ponderados incluida en los Términos de Referencia de esta evaluación.</w:t>
      </w:r>
    </w:p>
    <w:p w14:paraId="3841CFD9" w14:textId="77777777" w:rsidR="006041CA" w:rsidRDefault="001271CC">
      <w:pPr>
        <w:spacing w:after="120" w:line="360" w:lineRule="auto"/>
        <w:jc w:val="both"/>
      </w:pPr>
      <w:r>
        <w:t>En conclusión, la atención a la población objetivo del Programa Presupuestario ha sido conforme a lo esperado, además, los recursos del FONE se han ejercido de manera eficiente, logrando una eficiencia de cobertura del 100% en el ejercicio evaluado y un costo-efectividad calificado como "Esperado" según la Tabla de Valores.</w:t>
      </w:r>
    </w:p>
    <w:p w14:paraId="4FCF8130" w14:textId="77777777" w:rsidR="006041CA" w:rsidRDefault="001271CC">
      <w:pPr>
        <w:spacing w:after="120" w:line="360" w:lineRule="auto"/>
        <w:jc w:val="both"/>
        <w:rPr>
          <w:b/>
        </w:rPr>
      </w:pPr>
      <w:r>
        <w:rPr>
          <w:b/>
        </w:rPr>
        <w:t>Seguimiento a los Aspectos Susceptibles de Mejora</w:t>
      </w:r>
    </w:p>
    <w:p w14:paraId="669BE19B" w14:textId="77777777" w:rsidR="006041CA" w:rsidRDefault="001271CC">
      <w:pPr>
        <w:spacing w:after="120" w:line="360" w:lineRule="auto"/>
        <w:jc w:val="both"/>
      </w:pPr>
      <w:r>
        <w:t>En este tema, se concluye que se han considerado las recomendaciones emitidas en el reporte de evaluación correspondiente al ejercicio 2022 para mejorar la gestión del Programa Presupuestario. Esto se evidencia mediante documentos como el de Posición Institucional, en el cual se clasifican y aceptan los Aspectos Susceptibles de Mejora (ASM), y el seguimiento adecuado se realiza a través del formato Avance del Documento Institucional de Seguimiento a Aspectos Susceptibles de Mejora, este formato permite identificar las Actividades que se llevarán a cabo para atender los ASM, el responsable de su seguimiento, el porcentaje de cumplimiento, los resultados esperados, entre otros elementos clave.</w:t>
      </w:r>
    </w:p>
    <w:p w14:paraId="052AE8FB" w14:textId="77777777" w:rsidR="006041CA" w:rsidRDefault="001271CC">
      <w:pPr>
        <w:spacing w:after="120" w:line="360" w:lineRule="auto"/>
        <w:jc w:val="both"/>
        <w:rPr>
          <w:b/>
        </w:rPr>
      </w:pPr>
      <w:r>
        <w:rPr>
          <w:b/>
        </w:rPr>
        <w:t xml:space="preserve">Conclusión General </w:t>
      </w:r>
    </w:p>
    <w:p w14:paraId="5A38875A" w14:textId="77777777" w:rsidR="006041CA" w:rsidRDefault="001271CC">
      <w:pPr>
        <w:spacing w:after="120" w:line="360" w:lineRule="auto"/>
        <w:jc w:val="both"/>
      </w:pPr>
      <w:r>
        <w:t>El Programa Presupuestario AE01 Educación Básica ha demostrado un desempeño eficiente y consistente durante 2021-2023, cumpliendo con sus objetivos y normatividades estatal y federal, donde se destaca la adecuada gestión de recursos, con una ejecución del 99.96% en 2023, y una eficiencia de cobertura que alcanzó el 100%, aunque se recomienda incluir indicadores de eficiencia y calidad, la mayoría de las metas Programadas fueron alcanzadas, de igual manera  el Programa muestra compromiso con la mejora continua al implementar acciones para atender recomendaciones previas, en general, el Programa ha logrado resultados sólidos, una gestión eficaz y avances significativos en su impacto educativo.</w:t>
      </w:r>
    </w:p>
    <w:p w14:paraId="45AD5AF1" w14:textId="77777777" w:rsidR="006041CA" w:rsidRDefault="001271CC">
      <w:pPr>
        <w:spacing w:after="120" w:line="360" w:lineRule="auto"/>
      </w:pPr>
      <w:r>
        <w:br w:type="page"/>
      </w:r>
    </w:p>
    <w:p w14:paraId="2686A1D3"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15FAE011"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5472996E"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4B750613"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6376DD11" w14:textId="77777777" w:rsidR="006041CA" w:rsidRDefault="001271CC">
      <w:pPr>
        <w:pStyle w:val="Ttulo1"/>
        <w:spacing w:before="0" w:after="120" w:line="360" w:lineRule="auto"/>
        <w:jc w:val="center"/>
        <w:rPr>
          <w:rFonts w:ascii="Calibri" w:eastAsia="Calibri" w:hAnsi="Calibri" w:cs="Calibri"/>
          <w:b/>
          <w:color w:val="660033"/>
          <w:sz w:val="52"/>
          <w:szCs w:val="52"/>
        </w:rPr>
      </w:pPr>
      <w:bookmarkStart w:id="7" w:name="_heading=h.3dy6vkm" w:colFirst="0" w:colLast="0"/>
      <w:bookmarkEnd w:id="7"/>
      <w:r>
        <w:rPr>
          <w:rFonts w:ascii="Calibri" w:eastAsia="Calibri" w:hAnsi="Calibri" w:cs="Calibri"/>
          <w:b/>
          <w:color w:val="660033"/>
          <w:sz w:val="52"/>
          <w:szCs w:val="52"/>
        </w:rPr>
        <w:t>Anexo 1. Fortalezas, oportunidades, Debilidades y Amenazas</w:t>
      </w:r>
    </w:p>
    <w:p w14:paraId="620BD108" w14:textId="77777777" w:rsidR="006041CA" w:rsidRDefault="001271CC">
      <w:pPr>
        <w:spacing w:after="120" w:line="360" w:lineRule="auto"/>
      </w:pPr>
      <w:r>
        <w:br w:type="page"/>
      </w:r>
    </w:p>
    <w:p w14:paraId="7A5F0368" w14:textId="77777777" w:rsidR="006041CA" w:rsidRDefault="001271CC">
      <w:pPr>
        <w:spacing w:after="120" w:line="360" w:lineRule="auto"/>
        <w:rPr>
          <w:b/>
        </w:rPr>
      </w:pPr>
      <w:r>
        <w:rPr>
          <w:b/>
        </w:rPr>
        <w:t>Análisis FODA</w:t>
      </w:r>
    </w:p>
    <w:p w14:paraId="2A12B561" w14:textId="77777777" w:rsidR="006041CA" w:rsidRDefault="001271CC">
      <w:pPr>
        <w:spacing w:after="120" w:line="360" w:lineRule="auto"/>
        <w:rPr>
          <w:b/>
        </w:rPr>
      </w:pPr>
      <w:r>
        <w:rPr>
          <w:b/>
        </w:rPr>
        <w:t>Consideraciones</w:t>
      </w:r>
    </w:p>
    <w:p w14:paraId="2AC502D0" w14:textId="77777777" w:rsidR="006041CA" w:rsidRDefault="001271CC">
      <w:pPr>
        <w:spacing w:after="120" w:line="360" w:lineRule="auto"/>
        <w:jc w:val="both"/>
      </w:pPr>
      <w:r>
        <w:t>Se deberán identificar y reportar un máximo de cinco fortalezas y oportunidades, debilidades y amenazas, y emitir recomendaciones para cada debilidad y amenaza identificada, por cada tema evaluado.</w:t>
      </w:r>
    </w:p>
    <w:p w14:paraId="63099E5B" w14:textId="77777777" w:rsidR="006041CA" w:rsidRDefault="001271CC">
      <w:pPr>
        <w:spacing w:after="120" w:line="360" w:lineRule="auto"/>
        <w:jc w:val="both"/>
      </w:pPr>
      <w:r>
        <w:t xml:space="preserve">Para realizar el análisis, es importante definir el contenido de la siguiente forma: </w:t>
      </w:r>
    </w:p>
    <w:p w14:paraId="030CFD20" w14:textId="77777777" w:rsidR="006041CA" w:rsidRDefault="001271CC">
      <w:pPr>
        <w:spacing w:after="120" w:line="360" w:lineRule="auto"/>
        <w:jc w:val="both"/>
      </w:pPr>
      <w:r>
        <w:t>• Fortaleza y Oportunidad: Elementos internos (fortaleza) o externos (oportunidad) que propician la eficacia en los resultados, la eficiencia y la calidad en la entrega de bienes y servicios, y la economía en la operación de los procesos del Fondo, en aras de su desempeño. Todos estos son documentos oficiales tales como instructivos, manuales, reglas de operación, Plan de Desarrollo (oportunidad), Plan Institucional (fortaleza), entre otros.</w:t>
      </w:r>
    </w:p>
    <w:p w14:paraId="245775F7" w14:textId="77777777" w:rsidR="006041CA" w:rsidRDefault="001271CC">
      <w:pPr>
        <w:spacing w:after="120" w:line="360" w:lineRule="auto"/>
        <w:jc w:val="both"/>
      </w:pPr>
      <w:r>
        <w:t>• Debilidad y Amenaza: Elementos internos (debilidad) o externos (amenaza) que deben mejorar o sustituirse por otros, en aras de alcanzar la eficacia en los resultados, la eficiencia y la calidad en la entrega de bienes y servicios, y la economía en la operación de los procesos del Programa, en pro de su desempeño.</w:t>
      </w:r>
    </w:p>
    <w:p w14:paraId="4A554732" w14:textId="77777777" w:rsidR="006041CA" w:rsidRDefault="001271CC">
      <w:pPr>
        <w:spacing w:after="120" w:line="360" w:lineRule="auto"/>
        <w:jc w:val="both"/>
      </w:pPr>
      <w:r>
        <w:t>Para cada uno de los cinco temas de análisis que conforman la evaluación, se identifican como máximo cinco fortalezas, oportunidades, debilidades y amenazas, en el siguiente formato.</w:t>
      </w:r>
    </w:p>
    <w:p w14:paraId="44991810" w14:textId="77777777" w:rsidR="006041CA" w:rsidRDefault="006041CA">
      <w:pPr>
        <w:spacing w:after="120" w:line="360" w:lineRule="auto"/>
        <w:jc w:val="both"/>
      </w:pPr>
    </w:p>
    <w:tbl>
      <w:tblPr>
        <w:tblStyle w:val="a1"/>
        <w:tblW w:w="9962" w:type="dxa"/>
        <w:tblInd w:w="-10" w:type="dxa"/>
        <w:tblLayout w:type="fixed"/>
        <w:tblLook w:val="0400" w:firstRow="0" w:lastRow="0" w:firstColumn="0" w:lastColumn="0" w:noHBand="0" w:noVBand="1"/>
      </w:tblPr>
      <w:tblGrid>
        <w:gridCol w:w="2710"/>
        <w:gridCol w:w="3042"/>
        <w:gridCol w:w="1362"/>
        <w:gridCol w:w="2848"/>
      </w:tblGrid>
      <w:tr w:rsidR="006041CA" w14:paraId="7F7F619E" w14:textId="77777777">
        <w:trPr>
          <w:trHeight w:val="315"/>
        </w:trPr>
        <w:tc>
          <w:tcPr>
            <w:tcW w:w="9962" w:type="dxa"/>
            <w:gridSpan w:val="4"/>
            <w:tcBorders>
              <w:top w:val="single" w:sz="8" w:space="0" w:color="000000"/>
              <w:left w:val="single" w:sz="8" w:space="0" w:color="000000"/>
              <w:bottom w:val="single" w:sz="8" w:space="0" w:color="000000"/>
              <w:right w:val="single" w:sz="8" w:space="0" w:color="000000"/>
            </w:tcBorders>
            <w:shd w:val="clear" w:color="auto" w:fill="6C0C4C"/>
            <w:vAlign w:val="center"/>
          </w:tcPr>
          <w:p w14:paraId="403D01EB" w14:textId="77777777" w:rsidR="006041CA" w:rsidRDefault="001271CC">
            <w:pPr>
              <w:spacing w:after="120" w:line="360" w:lineRule="auto"/>
              <w:rPr>
                <w:b/>
                <w:color w:val="FFFFFF"/>
              </w:rPr>
            </w:pPr>
            <w:r>
              <w:rPr>
                <w:b/>
                <w:color w:val="FFFFFF"/>
              </w:rPr>
              <w:t>Tema de Evaluación: Resultados</w:t>
            </w:r>
          </w:p>
        </w:tc>
      </w:tr>
      <w:tr w:rsidR="006041CA" w14:paraId="1D7B1CDD" w14:textId="77777777">
        <w:trPr>
          <w:trHeight w:val="315"/>
        </w:trPr>
        <w:tc>
          <w:tcPr>
            <w:tcW w:w="2710" w:type="dxa"/>
            <w:tcBorders>
              <w:top w:val="nil"/>
              <w:left w:val="single" w:sz="8" w:space="0" w:color="000000"/>
              <w:bottom w:val="single" w:sz="8" w:space="0" w:color="000000"/>
              <w:right w:val="single" w:sz="8" w:space="0" w:color="000000"/>
            </w:tcBorders>
            <w:shd w:val="clear" w:color="auto" w:fill="FFC4D4"/>
            <w:vAlign w:val="center"/>
          </w:tcPr>
          <w:p w14:paraId="54D0F504" w14:textId="77777777" w:rsidR="006041CA" w:rsidRDefault="001271CC">
            <w:pPr>
              <w:spacing w:after="120" w:line="360" w:lineRule="auto"/>
              <w:jc w:val="center"/>
              <w:rPr>
                <w:b/>
                <w:color w:val="000000"/>
              </w:rPr>
            </w:pPr>
            <w:r>
              <w:rPr>
                <w:b/>
                <w:color w:val="000000"/>
              </w:rPr>
              <w:t>Fortalezas</w:t>
            </w:r>
          </w:p>
        </w:tc>
        <w:tc>
          <w:tcPr>
            <w:tcW w:w="3042" w:type="dxa"/>
            <w:tcBorders>
              <w:top w:val="nil"/>
              <w:left w:val="nil"/>
              <w:bottom w:val="single" w:sz="8" w:space="0" w:color="000000"/>
              <w:right w:val="single" w:sz="8" w:space="0" w:color="000000"/>
            </w:tcBorders>
            <w:shd w:val="clear" w:color="auto" w:fill="FFC4D4"/>
            <w:vAlign w:val="center"/>
          </w:tcPr>
          <w:p w14:paraId="6F5475CA" w14:textId="77777777" w:rsidR="006041CA" w:rsidRDefault="001271CC">
            <w:pPr>
              <w:spacing w:after="120" w:line="360" w:lineRule="auto"/>
              <w:jc w:val="center"/>
              <w:rPr>
                <w:b/>
                <w:color w:val="000000"/>
              </w:rPr>
            </w:pPr>
            <w:r>
              <w:rPr>
                <w:b/>
                <w:color w:val="000000"/>
              </w:rPr>
              <w:t>Oportunidades</w:t>
            </w:r>
          </w:p>
        </w:tc>
        <w:tc>
          <w:tcPr>
            <w:tcW w:w="1362" w:type="dxa"/>
            <w:tcBorders>
              <w:top w:val="nil"/>
              <w:left w:val="nil"/>
              <w:bottom w:val="single" w:sz="8" w:space="0" w:color="000000"/>
              <w:right w:val="single" w:sz="8" w:space="0" w:color="000000"/>
            </w:tcBorders>
            <w:shd w:val="clear" w:color="auto" w:fill="FFC4D4"/>
            <w:vAlign w:val="center"/>
          </w:tcPr>
          <w:p w14:paraId="1637B056" w14:textId="77777777" w:rsidR="006041CA" w:rsidRDefault="001271CC">
            <w:pPr>
              <w:spacing w:after="120" w:line="360" w:lineRule="auto"/>
              <w:jc w:val="center"/>
              <w:rPr>
                <w:b/>
                <w:color w:val="000000"/>
              </w:rPr>
            </w:pPr>
            <w:r>
              <w:rPr>
                <w:b/>
                <w:color w:val="000000"/>
              </w:rPr>
              <w:t xml:space="preserve">Debilidades </w:t>
            </w:r>
          </w:p>
        </w:tc>
        <w:tc>
          <w:tcPr>
            <w:tcW w:w="2848" w:type="dxa"/>
            <w:tcBorders>
              <w:top w:val="nil"/>
              <w:left w:val="nil"/>
              <w:bottom w:val="single" w:sz="8" w:space="0" w:color="000000"/>
              <w:right w:val="single" w:sz="8" w:space="0" w:color="000000"/>
            </w:tcBorders>
            <w:shd w:val="clear" w:color="auto" w:fill="FFC4D4"/>
            <w:vAlign w:val="center"/>
          </w:tcPr>
          <w:p w14:paraId="717480B9" w14:textId="77777777" w:rsidR="006041CA" w:rsidRDefault="001271CC">
            <w:pPr>
              <w:spacing w:after="120" w:line="360" w:lineRule="auto"/>
              <w:jc w:val="center"/>
              <w:rPr>
                <w:b/>
                <w:color w:val="000000"/>
              </w:rPr>
            </w:pPr>
            <w:r>
              <w:rPr>
                <w:b/>
                <w:color w:val="000000"/>
              </w:rPr>
              <w:t>Amenazas</w:t>
            </w:r>
          </w:p>
        </w:tc>
      </w:tr>
      <w:tr w:rsidR="006041CA" w14:paraId="22075299" w14:textId="77777777">
        <w:trPr>
          <w:trHeight w:val="1515"/>
        </w:trPr>
        <w:tc>
          <w:tcPr>
            <w:tcW w:w="2710" w:type="dxa"/>
            <w:tcBorders>
              <w:top w:val="nil"/>
              <w:left w:val="single" w:sz="8" w:space="0" w:color="000000"/>
              <w:bottom w:val="single" w:sz="8" w:space="0" w:color="000000"/>
              <w:right w:val="single" w:sz="8" w:space="0" w:color="000000"/>
            </w:tcBorders>
            <w:shd w:val="clear" w:color="auto" w:fill="auto"/>
            <w:vAlign w:val="center"/>
          </w:tcPr>
          <w:p w14:paraId="170F143E" w14:textId="77777777" w:rsidR="006041CA" w:rsidRDefault="001271CC">
            <w:pPr>
              <w:spacing w:after="120" w:line="360" w:lineRule="auto"/>
              <w:rPr>
                <w:color w:val="000000"/>
              </w:rPr>
            </w:pPr>
            <w:r>
              <w:rPr>
                <w:color w:val="000000"/>
              </w:rPr>
              <w:t>Los indicadores estratégicos de la MIR del Programa AE01 Educación Básica cumplen con el criterio de Relevante.</w:t>
            </w:r>
          </w:p>
        </w:tc>
        <w:tc>
          <w:tcPr>
            <w:tcW w:w="3042" w:type="dxa"/>
            <w:tcBorders>
              <w:top w:val="nil"/>
              <w:left w:val="nil"/>
              <w:bottom w:val="single" w:sz="8" w:space="0" w:color="000000"/>
              <w:right w:val="single" w:sz="8" w:space="0" w:color="000000"/>
            </w:tcBorders>
            <w:shd w:val="clear" w:color="auto" w:fill="auto"/>
            <w:vAlign w:val="center"/>
          </w:tcPr>
          <w:p w14:paraId="38884CB7" w14:textId="77777777" w:rsidR="006041CA" w:rsidRDefault="001271CC">
            <w:pPr>
              <w:spacing w:after="120" w:line="360" w:lineRule="auto"/>
              <w:rPr>
                <w:color w:val="000000"/>
              </w:rPr>
            </w:pPr>
            <w:r>
              <w:rPr>
                <w:color w:val="000000"/>
              </w:rPr>
              <w:t>Los resultados del Programa presupuestario son congruentes y los esperados de acuerdo a la normatividad Federal del Fondo.</w:t>
            </w:r>
          </w:p>
        </w:tc>
        <w:tc>
          <w:tcPr>
            <w:tcW w:w="1362" w:type="dxa"/>
            <w:tcBorders>
              <w:top w:val="nil"/>
              <w:left w:val="nil"/>
              <w:bottom w:val="single" w:sz="8" w:space="0" w:color="000000"/>
              <w:right w:val="single" w:sz="8" w:space="0" w:color="000000"/>
            </w:tcBorders>
            <w:shd w:val="clear" w:color="auto" w:fill="auto"/>
            <w:vAlign w:val="center"/>
          </w:tcPr>
          <w:p w14:paraId="5FF3D92D" w14:textId="77777777" w:rsidR="006041CA" w:rsidRDefault="001271CC">
            <w:pPr>
              <w:spacing w:after="120" w:line="360" w:lineRule="auto"/>
              <w:rPr>
                <w:color w:val="000000"/>
              </w:rPr>
            </w:pPr>
            <w:r>
              <w:rPr>
                <w:color w:val="000000"/>
              </w:rPr>
              <w:t>No se identifican Debilidades</w:t>
            </w:r>
          </w:p>
        </w:tc>
        <w:tc>
          <w:tcPr>
            <w:tcW w:w="2848" w:type="dxa"/>
            <w:tcBorders>
              <w:top w:val="nil"/>
              <w:left w:val="nil"/>
              <w:bottom w:val="single" w:sz="8" w:space="0" w:color="000000"/>
              <w:right w:val="single" w:sz="8" w:space="0" w:color="000000"/>
            </w:tcBorders>
            <w:shd w:val="clear" w:color="auto" w:fill="auto"/>
            <w:vAlign w:val="center"/>
          </w:tcPr>
          <w:p w14:paraId="28DF853E" w14:textId="77777777" w:rsidR="006041CA" w:rsidRDefault="001271CC">
            <w:pPr>
              <w:spacing w:after="120" w:line="360" w:lineRule="auto"/>
              <w:rPr>
                <w:color w:val="000000"/>
              </w:rPr>
            </w:pPr>
            <w:r>
              <w:rPr>
                <w:color w:val="000000"/>
              </w:rPr>
              <w:t>No se define la temporalidad de la publicación de los medios de verificación de los indicadores a nivel de resultados (Fin y Propósito) del Programa presupuestario.</w:t>
            </w:r>
          </w:p>
        </w:tc>
      </w:tr>
      <w:tr w:rsidR="006041CA" w14:paraId="0150A398" w14:textId="77777777">
        <w:trPr>
          <w:trHeight w:val="1515"/>
        </w:trPr>
        <w:tc>
          <w:tcPr>
            <w:tcW w:w="2710" w:type="dxa"/>
            <w:tcBorders>
              <w:top w:val="nil"/>
              <w:left w:val="single" w:sz="8" w:space="0" w:color="000000"/>
              <w:bottom w:val="single" w:sz="8" w:space="0" w:color="000000"/>
              <w:right w:val="single" w:sz="8" w:space="0" w:color="000000"/>
            </w:tcBorders>
            <w:shd w:val="clear" w:color="auto" w:fill="auto"/>
            <w:vAlign w:val="center"/>
          </w:tcPr>
          <w:p w14:paraId="0DF87E78" w14:textId="77777777" w:rsidR="006041CA" w:rsidRDefault="001271CC">
            <w:pPr>
              <w:spacing w:after="120" w:line="360" w:lineRule="auto"/>
              <w:rPr>
                <w:color w:val="000000"/>
              </w:rPr>
            </w:pPr>
            <w:r>
              <w:rPr>
                <w:color w:val="000000"/>
              </w:rPr>
              <w:t>Se define correctamente la población objetivo del Programa presupuestario, la cual es congruente con la señalada en la normatividad Federal.</w:t>
            </w:r>
          </w:p>
        </w:tc>
        <w:tc>
          <w:tcPr>
            <w:tcW w:w="3042" w:type="dxa"/>
            <w:tcBorders>
              <w:top w:val="nil"/>
              <w:left w:val="nil"/>
              <w:bottom w:val="single" w:sz="8" w:space="0" w:color="000000"/>
              <w:right w:val="single" w:sz="8" w:space="0" w:color="000000"/>
            </w:tcBorders>
            <w:shd w:val="clear" w:color="auto" w:fill="auto"/>
            <w:vAlign w:val="center"/>
          </w:tcPr>
          <w:p w14:paraId="11186EA1" w14:textId="77777777" w:rsidR="006041CA" w:rsidRDefault="001271CC">
            <w:pPr>
              <w:spacing w:after="120" w:line="360" w:lineRule="auto"/>
              <w:rPr>
                <w:color w:val="000000"/>
              </w:rPr>
            </w:pPr>
            <w:r>
              <w:rPr>
                <w:color w:val="000000"/>
              </w:rPr>
              <w:t>La mayoría de los indicadores de gestión de la MIR Federal del FONE de responsabilidad estatal se cumplieron, esto de acuerdo  con el parámetro de cumplimiento de las metas de ±10%.</w:t>
            </w:r>
          </w:p>
        </w:tc>
        <w:tc>
          <w:tcPr>
            <w:tcW w:w="1362" w:type="dxa"/>
            <w:tcBorders>
              <w:top w:val="nil"/>
              <w:left w:val="nil"/>
              <w:bottom w:val="single" w:sz="8" w:space="0" w:color="000000"/>
              <w:right w:val="single" w:sz="8" w:space="0" w:color="000000"/>
            </w:tcBorders>
            <w:shd w:val="clear" w:color="auto" w:fill="auto"/>
            <w:vAlign w:val="center"/>
          </w:tcPr>
          <w:p w14:paraId="7158D055" w14:textId="77777777" w:rsidR="006041CA" w:rsidRDefault="001271CC">
            <w:pPr>
              <w:spacing w:after="120" w:line="360" w:lineRule="auto"/>
              <w:rPr>
                <w:color w:val="000000"/>
              </w:rPr>
            </w:pPr>
            <w:r>
              <w:rPr>
                <w:color w:val="000000"/>
              </w:rPr>
              <w:t> </w:t>
            </w:r>
          </w:p>
        </w:tc>
        <w:tc>
          <w:tcPr>
            <w:tcW w:w="2848" w:type="dxa"/>
            <w:tcBorders>
              <w:top w:val="nil"/>
              <w:left w:val="nil"/>
              <w:bottom w:val="single" w:sz="8" w:space="0" w:color="000000"/>
              <w:right w:val="single" w:sz="8" w:space="0" w:color="000000"/>
            </w:tcBorders>
            <w:shd w:val="clear" w:color="auto" w:fill="auto"/>
            <w:vAlign w:val="center"/>
          </w:tcPr>
          <w:p w14:paraId="773D2F68" w14:textId="77777777" w:rsidR="006041CA" w:rsidRDefault="001271CC">
            <w:pPr>
              <w:spacing w:after="120" w:line="360" w:lineRule="auto"/>
              <w:rPr>
                <w:color w:val="000000"/>
              </w:rPr>
            </w:pPr>
            <w:r>
              <w:rPr>
                <w:color w:val="000000"/>
              </w:rPr>
              <w:t> </w:t>
            </w:r>
          </w:p>
        </w:tc>
      </w:tr>
      <w:tr w:rsidR="006041CA" w14:paraId="71816A8E" w14:textId="77777777">
        <w:trPr>
          <w:trHeight w:val="315"/>
        </w:trPr>
        <w:tc>
          <w:tcPr>
            <w:tcW w:w="2710" w:type="dxa"/>
            <w:tcBorders>
              <w:top w:val="nil"/>
              <w:left w:val="nil"/>
              <w:bottom w:val="nil"/>
              <w:right w:val="nil"/>
            </w:tcBorders>
            <w:shd w:val="clear" w:color="auto" w:fill="auto"/>
            <w:vAlign w:val="bottom"/>
          </w:tcPr>
          <w:p w14:paraId="0DA0A69C" w14:textId="77777777" w:rsidR="006041CA" w:rsidRDefault="006041CA">
            <w:pPr>
              <w:spacing w:after="120" w:line="360" w:lineRule="auto"/>
              <w:rPr>
                <w:color w:val="000000"/>
              </w:rPr>
            </w:pPr>
          </w:p>
        </w:tc>
        <w:tc>
          <w:tcPr>
            <w:tcW w:w="3042" w:type="dxa"/>
            <w:tcBorders>
              <w:top w:val="nil"/>
              <w:left w:val="nil"/>
              <w:bottom w:val="nil"/>
              <w:right w:val="nil"/>
            </w:tcBorders>
            <w:shd w:val="clear" w:color="auto" w:fill="auto"/>
            <w:vAlign w:val="bottom"/>
          </w:tcPr>
          <w:p w14:paraId="67245E7A" w14:textId="77777777" w:rsidR="006041CA" w:rsidRDefault="006041CA">
            <w:pPr>
              <w:spacing w:after="120" w:line="360" w:lineRule="auto"/>
              <w:rPr>
                <w:sz w:val="20"/>
                <w:szCs w:val="20"/>
              </w:rPr>
            </w:pPr>
          </w:p>
        </w:tc>
        <w:tc>
          <w:tcPr>
            <w:tcW w:w="1362" w:type="dxa"/>
            <w:tcBorders>
              <w:top w:val="nil"/>
              <w:left w:val="nil"/>
              <w:bottom w:val="nil"/>
              <w:right w:val="nil"/>
            </w:tcBorders>
            <w:shd w:val="clear" w:color="auto" w:fill="auto"/>
            <w:vAlign w:val="bottom"/>
          </w:tcPr>
          <w:p w14:paraId="79494F50" w14:textId="77777777" w:rsidR="006041CA" w:rsidRDefault="006041CA">
            <w:pPr>
              <w:spacing w:after="120" w:line="360" w:lineRule="auto"/>
              <w:rPr>
                <w:sz w:val="20"/>
                <w:szCs w:val="20"/>
              </w:rPr>
            </w:pPr>
          </w:p>
        </w:tc>
        <w:tc>
          <w:tcPr>
            <w:tcW w:w="2848" w:type="dxa"/>
            <w:tcBorders>
              <w:top w:val="nil"/>
              <w:left w:val="nil"/>
              <w:bottom w:val="nil"/>
              <w:right w:val="nil"/>
            </w:tcBorders>
            <w:shd w:val="clear" w:color="auto" w:fill="auto"/>
            <w:vAlign w:val="bottom"/>
          </w:tcPr>
          <w:p w14:paraId="0C74A242" w14:textId="77777777" w:rsidR="006041CA" w:rsidRDefault="006041CA">
            <w:pPr>
              <w:spacing w:after="120" w:line="360" w:lineRule="auto"/>
              <w:rPr>
                <w:sz w:val="20"/>
                <w:szCs w:val="20"/>
              </w:rPr>
            </w:pPr>
          </w:p>
        </w:tc>
      </w:tr>
      <w:tr w:rsidR="006041CA" w14:paraId="4D773729" w14:textId="77777777">
        <w:trPr>
          <w:trHeight w:val="315"/>
        </w:trPr>
        <w:tc>
          <w:tcPr>
            <w:tcW w:w="9962" w:type="dxa"/>
            <w:gridSpan w:val="4"/>
            <w:tcBorders>
              <w:top w:val="single" w:sz="8" w:space="0" w:color="000000"/>
              <w:left w:val="single" w:sz="8" w:space="0" w:color="000000"/>
              <w:bottom w:val="single" w:sz="8" w:space="0" w:color="000000"/>
              <w:right w:val="single" w:sz="8" w:space="0" w:color="000000"/>
            </w:tcBorders>
            <w:shd w:val="clear" w:color="auto" w:fill="6C0C4C"/>
            <w:vAlign w:val="center"/>
          </w:tcPr>
          <w:p w14:paraId="0CE1CCB7" w14:textId="77777777" w:rsidR="006041CA" w:rsidRDefault="001271CC">
            <w:pPr>
              <w:spacing w:after="120" w:line="360" w:lineRule="auto"/>
              <w:rPr>
                <w:b/>
                <w:color w:val="FFFFFF"/>
              </w:rPr>
            </w:pPr>
            <w:r>
              <w:rPr>
                <w:b/>
                <w:color w:val="FFFFFF"/>
              </w:rPr>
              <w:t>Tema de Evaluación: Productos</w:t>
            </w:r>
          </w:p>
        </w:tc>
      </w:tr>
      <w:tr w:rsidR="006041CA" w14:paraId="6F0212B2" w14:textId="77777777">
        <w:trPr>
          <w:trHeight w:val="315"/>
        </w:trPr>
        <w:tc>
          <w:tcPr>
            <w:tcW w:w="2710" w:type="dxa"/>
            <w:tcBorders>
              <w:top w:val="nil"/>
              <w:left w:val="single" w:sz="8" w:space="0" w:color="000000"/>
              <w:bottom w:val="single" w:sz="8" w:space="0" w:color="000000"/>
              <w:right w:val="single" w:sz="8" w:space="0" w:color="000000"/>
            </w:tcBorders>
            <w:shd w:val="clear" w:color="auto" w:fill="FFC4D4"/>
            <w:vAlign w:val="center"/>
          </w:tcPr>
          <w:p w14:paraId="718BFFF3" w14:textId="77777777" w:rsidR="006041CA" w:rsidRDefault="001271CC">
            <w:pPr>
              <w:spacing w:after="120" w:line="360" w:lineRule="auto"/>
              <w:jc w:val="center"/>
              <w:rPr>
                <w:b/>
                <w:color w:val="000000"/>
              </w:rPr>
            </w:pPr>
            <w:r>
              <w:rPr>
                <w:b/>
                <w:color w:val="000000"/>
              </w:rPr>
              <w:t>Fortalezas</w:t>
            </w:r>
          </w:p>
        </w:tc>
        <w:tc>
          <w:tcPr>
            <w:tcW w:w="3042" w:type="dxa"/>
            <w:tcBorders>
              <w:top w:val="nil"/>
              <w:left w:val="nil"/>
              <w:bottom w:val="single" w:sz="8" w:space="0" w:color="000000"/>
              <w:right w:val="single" w:sz="8" w:space="0" w:color="000000"/>
            </w:tcBorders>
            <w:shd w:val="clear" w:color="auto" w:fill="FFC4D4"/>
            <w:vAlign w:val="center"/>
          </w:tcPr>
          <w:p w14:paraId="22E7083D" w14:textId="77777777" w:rsidR="006041CA" w:rsidRDefault="001271CC">
            <w:pPr>
              <w:spacing w:after="120" w:line="360" w:lineRule="auto"/>
              <w:jc w:val="center"/>
              <w:rPr>
                <w:b/>
                <w:color w:val="000000"/>
              </w:rPr>
            </w:pPr>
            <w:r>
              <w:rPr>
                <w:b/>
                <w:color w:val="000000"/>
              </w:rPr>
              <w:t>Oportunidades</w:t>
            </w:r>
          </w:p>
        </w:tc>
        <w:tc>
          <w:tcPr>
            <w:tcW w:w="1362" w:type="dxa"/>
            <w:tcBorders>
              <w:top w:val="nil"/>
              <w:left w:val="nil"/>
              <w:bottom w:val="single" w:sz="8" w:space="0" w:color="000000"/>
              <w:right w:val="single" w:sz="8" w:space="0" w:color="000000"/>
            </w:tcBorders>
            <w:shd w:val="clear" w:color="auto" w:fill="FFC4D4"/>
            <w:vAlign w:val="center"/>
          </w:tcPr>
          <w:p w14:paraId="1433C27C" w14:textId="77777777" w:rsidR="006041CA" w:rsidRDefault="001271CC">
            <w:pPr>
              <w:spacing w:after="120" w:line="360" w:lineRule="auto"/>
              <w:jc w:val="center"/>
              <w:rPr>
                <w:b/>
                <w:color w:val="000000"/>
              </w:rPr>
            </w:pPr>
            <w:r>
              <w:rPr>
                <w:b/>
                <w:color w:val="000000"/>
              </w:rPr>
              <w:t xml:space="preserve">Debilidades </w:t>
            </w:r>
          </w:p>
        </w:tc>
        <w:tc>
          <w:tcPr>
            <w:tcW w:w="2848" w:type="dxa"/>
            <w:tcBorders>
              <w:top w:val="nil"/>
              <w:left w:val="nil"/>
              <w:bottom w:val="single" w:sz="8" w:space="0" w:color="000000"/>
              <w:right w:val="single" w:sz="8" w:space="0" w:color="000000"/>
            </w:tcBorders>
            <w:shd w:val="clear" w:color="auto" w:fill="FFC4D4"/>
            <w:vAlign w:val="center"/>
          </w:tcPr>
          <w:p w14:paraId="20B8DCF9" w14:textId="77777777" w:rsidR="006041CA" w:rsidRDefault="001271CC">
            <w:pPr>
              <w:spacing w:after="120" w:line="360" w:lineRule="auto"/>
              <w:jc w:val="center"/>
              <w:rPr>
                <w:b/>
                <w:color w:val="000000"/>
              </w:rPr>
            </w:pPr>
            <w:r>
              <w:rPr>
                <w:b/>
                <w:color w:val="000000"/>
              </w:rPr>
              <w:t>Amenazas</w:t>
            </w:r>
          </w:p>
        </w:tc>
      </w:tr>
      <w:tr w:rsidR="006041CA" w14:paraId="11C43E14" w14:textId="77777777">
        <w:trPr>
          <w:trHeight w:val="494"/>
        </w:trPr>
        <w:tc>
          <w:tcPr>
            <w:tcW w:w="2710" w:type="dxa"/>
            <w:tcBorders>
              <w:top w:val="nil"/>
              <w:left w:val="single" w:sz="8" w:space="0" w:color="000000"/>
              <w:bottom w:val="single" w:sz="8" w:space="0" w:color="000000"/>
              <w:right w:val="single" w:sz="8" w:space="0" w:color="000000"/>
            </w:tcBorders>
            <w:shd w:val="clear" w:color="auto" w:fill="auto"/>
            <w:vAlign w:val="center"/>
          </w:tcPr>
          <w:p w14:paraId="3D94397D" w14:textId="77777777" w:rsidR="006041CA" w:rsidRDefault="001271CC">
            <w:pPr>
              <w:spacing w:after="120" w:line="360" w:lineRule="auto"/>
              <w:rPr>
                <w:color w:val="000000"/>
              </w:rPr>
            </w:pPr>
            <w:r>
              <w:rPr>
                <w:color w:val="000000"/>
              </w:rPr>
              <w:t>Las metas de los indicadores a nivel de Componente del Pp reportan un cumplimiento del 100% para el 2023.</w:t>
            </w:r>
          </w:p>
        </w:tc>
        <w:tc>
          <w:tcPr>
            <w:tcW w:w="3042" w:type="dxa"/>
            <w:tcBorders>
              <w:top w:val="nil"/>
              <w:left w:val="nil"/>
              <w:bottom w:val="single" w:sz="8" w:space="0" w:color="000000"/>
              <w:right w:val="single" w:sz="8" w:space="0" w:color="000000"/>
            </w:tcBorders>
            <w:shd w:val="clear" w:color="auto" w:fill="auto"/>
            <w:vAlign w:val="center"/>
          </w:tcPr>
          <w:p w14:paraId="7A6E4FF1" w14:textId="77777777" w:rsidR="006041CA" w:rsidRDefault="001271CC">
            <w:pPr>
              <w:spacing w:after="120" w:line="360" w:lineRule="auto"/>
              <w:rPr>
                <w:color w:val="000000"/>
              </w:rPr>
            </w:pPr>
            <w:r>
              <w:rPr>
                <w:color w:val="000000"/>
              </w:rPr>
              <w:t>En la Guía para el diseño de la Matriz de Indicadores para Resultados se describe que un Pp no se está obligado a registrar indicadores para todas las dimensiones descritas.</w:t>
            </w:r>
          </w:p>
        </w:tc>
        <w:tc>
          <w:tcPr>
            <w:tcW w:w="1362" w:type="dxa"/>
            <w:tcBorders>
              <w:top w:val="nil"/>
              <w:left w:val="nil"/>
              <w:bottom w:val="single" w:sz="8" w:space="0" w:color="000000"/>
              <w:right w:val="single" w:sz="8" w:space="0" w:color="000000"/>
            </w:tcBorders>
            <w:shd w:val="clear" w:color="auto" w:fill="auto"/>
            <w:vAlign w:val="center"/>
          </w:tcPr>
          <w:p w14:paraId="74FDC117" w14:textId="77777777" w:rsidR="006041CA" w:rsidRDefault="001271CC">
            <w:pPr>
              <w:spacing w:after="120" w:line="360" w:lineRule="auto"/>
              <w:rPr>
                <w:color w:val="000000"/>
              </w:rPr>
            </w:pPr>
            <w:r>
              <w:rPr>
                <w:color w:val="000000"/>
              </w:rPr>
              <w:t>No se identifican Debilidades</w:t>
            </w:r>
          </w:p>
        </w:tc>
        <w:tc>
          <w:tcPr>
            <w:tcW w:w="2848" w:type="dxa"/>
            <w:tcBorders>
              <w:top w:val="nil"/>
              <w:left w:val="nil"/>
              <w:bottom w:val="single" w:sz="8" w:space="0" w:color="000000"/>
              <w:right w:val="single" w:sz="8" w:space="0" w:color="000000"/>
            </w:tcBorders>
            <w:shd w:val="clear" w:color="auto" w:fill="auto"/>
            <w:vAlign w:val="center"/>
          </w:tcPr>
          <w:p w14:paraId="45E588F7" w14:textId="77777777" w:rsidR="006041CA" w:rsidRDefault="001271CC">
            <w:pPr>
              <w:spacing w:after="120" w:line="360" w:lineRule="auto"/>
              <w:rPr>
                <w:color w:val="000000"/>
              </w:rPr>
            </w:pPr>
            <w:r>
              <w:rPr>
                <w:color w:val="000000"/>
              </w:rPr>
              <w:t>En los Formatos de los Indicadores de la MIR del Programa presupuestario se define que los indicadores a nivel de Componente sólo miden la dimensión de eficacia.</w:t>
            </w:r>
          </w:p>
        </w:tc>
      </w:tr>
      <w:tr w:rsidR="006041CA" w14:paraId="0671729A" w14:textId="77777777">
        <w:trPr>
          <w:trHeight w:val="1215"/>
        </w:trPr>
        <w:tc>
          <w:tcPr>
            <w:tcW w:w="2710" w:type="dxa"/>
            <w:tcBorders>
              <w:top w:val="nil"/>
              <w:left w:val="single" w:sz="8" w:space="0" w:color="000000"/>
              <w:bottom w:val="single" w:sz="8" w:space="0" w:color="000000"/>
              <w:right w:val="single" w:sz="8" w:space="0" w:color="000000"/>
            </w:tcBorders>
            <w:shd w:val="clear" w:color="auto" w:fill="auto"/>
            <w:vAlign w:val="center"/>
          </w:tcPr>
          <w:p w14:paraId="308E50A5" w14:textId="77777777" w:rsidR="006041CA" w:rsidRDefault="001271CC">
            <w:pPr>
              <w:spacing w:after="120" w:line="360" w:lineRule="auto"/>
              <w:rPr>
                <w:color w:val="000000"/>
              </w:rPr>
            </w:pPr>
            <w:r>
              <w:rPr>
                <w:color w:val="000000"/>
              </w:rPr>
              <w:t>Se valida el criterio de evaluabilidad de los indicadores a nivel Componente, ya que sí se definen los medios de verificación y fuentes de información.</w:t>
            </w:r>
          </w:p>
        </w:tc>
        <w:tc>
          <w:tcPr>
            <w:tcW w:w="3042" w:type="dxa"/>
            <w:tcBorders>
              <w:top w:val="nil"/>
              <w:left w:val="nil"/>
              <w:bottom w:val="single" w:sz="8" w:space="0" w:color="000000"/>
              <w:right w:val="single" w:sz="8" w:space="0" w:color="000000"/>
            </w:tcBorders>
            <w:shd w:val="clear" w:color="auto" w:fill="auto"/>
            <w:vAlign w:val="center"/>
          </w:tcPr>
          <w:p w14:paraId="5EB89970" w14:textId="77777777" w:rsidR="006041CA" w:rsidRDefault="001271CC">
            <w:pPr>
              <w:spacing w:after="120" w:line="360" w:lineRule="auto"/>
              <w:rPr>
                <w:color w:val="000000"/>
              </w:rPr>
            </w:pPr>
            <w:r>
              <w:rPr>
                <w:color w:val="000000"/>
              </w:rPr>
              <w:t> </w:t>
            </w:r>
          </w:p>
        </w:tc>
        <w:tc>
          <w:tcPr>
            <w:tcW w:w="1362" w:type="dxa"/>
            <w:tcBorders>
              <w:top w:val="nil"/>
              <w:left w:val="nil"/>
              <w:bottom w:val="single" w:sz="8" w:space="0" w:color="000000"/>
              <w:right w:val="single" w:sz="8" w:space="0" w:color="000000"/>
            </w:tcBorders>
            <w:shd w:val="clear" w:color="auto" w:fill="auto"/>
            <w:vAlign w:val="center"/>
          </w:tcPr>
          <w:p w14:paraId="6AE3532C" w14:textId="77777777" w:rsidR="006041CA" w:rsidRDefault="001271CC">
            <w:pPr>
              <w:spacing w:after="120" w:line="360" w:lineRule="auto"/>
              <w:rPr>
                <w:color w:val="000000"/>
              </w:rPr>
            </w:pPr>
            <w:r>
              <w:rPr>
                <w:color w:val="000000"/>
              </w:rPr>
              <w:t> </w:t>
            </w:r>
          </w:p>
        </w:tc>
        <w:tc>
          <w:tcPr>
            <w:tcW w:w="2848" w:type="dxa"/>
            <w:tcBorders>
              <w:top w:val="nil"/>
              <w:left w:val="nil"/>
              <w:bottom w:val="single" w:sz="8" w:space="0" w:color="000000"/>
              <w:right w:val="single" w:sz="8" w:space="0" w:color="000000"/>
            </w:tcBorders>
            <w:shd w:val="clear" w:color="auto" w:fill="auto"/>
            <w:vAlign w:val="center"/>
          </w:tcPr>
          <w:p w14:paraId="2DFAB7FF" w14:textId="77777777" w:rsidR="006041CA" w:rsidRDefault="001271CC">
            <w:pPr>
              <w:spacing w:after="120" w:line="360" w:lineRule="auto"/>
              <w:rPr>
                <w:color w:val="000000"/>
              </w:rPr>
            </w:pPr>
            <w:r>
              <w:rPr>
                <w:color w:val="000000"/>
              </w:rPr>
              <w:t>No se define la temporalidad de la publicación de los medios de verificación de los indicadores a nivel de Componente del Programa presupuestario.</w:t>
            </w:r>
          </w:p>
        </w:tc>
      </w:tr>
      <w:tr w:rsidR="006041CA" w14:paraId="1934E804" w14:textId="77777777">
        <w:trPr>
          <w:trHeight w:val="315"/>
        </w:trPr>
        <w:tc>
          <w:tcPr>
            <w:tcW w:w="2710" w:type="dxa"/>
            <w:tcBorders>
              <w:top w:val="nil"/>
              <w:left w:val="nil"/>
              <w:bottom w:val="nil"/>
              <w:right w:val="nil"/>
            </w:tcBorders>
            <w:shd w:val="clear" w:color="auto" w:fill="auto"/>
            <w:vAlign w:val="bottom"/>
          </w:tcPr>
          <w:p w14:paraId="494643EE" w14:textId="77777777" w:rsidR="006041CA" w:rsidRDefault="006041CA">
            <w:pPr>
              <w:spacing w:after="120" w:line="360" w:lineRule="auto"/>
              <w:rPr>
                <w:color w:val="000000"/>
              </w:rPr>
            </w:pPr>
          </w:p>
        </w:tc>
        <w:tc>
          <w:tcPr>
            <w:tcW w:w="3042" w:type="dxa"/>
            <w:tcBorders>
              <w:top w:val="nil"/>
              <w:left w:val="nil"/>
              <w:bottom w:val="nil"/>
              <w:right w:val="nil"/>
            </w:tcBorders>
            <w:shd w:val="clear" w:color="auto" w:fill="auto"/>
            <w:vAlign w:val="bottom"/>
          </w:tcPr>
          <w:p w14:paraId="27A8CDF7" w14:textId="77777777" w:rsidR="006041CA" w:rsidRDefault="006041CA">
            <w:pPr>
              <w:spacing w:after="120" w:line="360" w:lineRule="auto"/>
              <w:rPr>
                <w:sz w:val="20"/>
                <w:szCs w:val="20"/>
              </w:rPr>
            </w:pPr>
          </w:p>
        </w:tc>
        <w:tc>
          <w:tcPr>
            <w:tcW w:w="1362" w:type="dxa"/>
            <w:tcBorders>
              <w:top w:val="nil"/>
              <w:left w:val="nil"/>
              <w:bottom w:val="nil"/>
              <w:right w:val="nil"/>
            </w:tcBorders>
            <w:shd w:val="clear" w:color="auto" w:fill="auto"/>
            <w:vAlign w:val="bottom"/>
          </w:tcPr>
          <w:p w14:paraId="11F241AB" w14:textId="77777777" w:rsidR="006041CA" w:rsidRDefault="006041CA">
            <w:pPr>
              <w:spacing w:after="120" w:line="360" w:lineRule="auto"/>
              <w:rPr>
                <w:sz w:val="20"/>
                <w:szCs w:val="20"/>
              </w:rPr>
            </w:pPr>
          </w:p>
        </w:tc>
        <w:tc>
          <w:tcPr>
            <w:tcW w:w="2848" w:type="dxa"/>
            <w:tcBorders>
              <w:top w:val="nil"/>
              <w:left w:val="nil"/>
              <w:bottom w:val="nil"/>
              <w:right w:val="nil"/>
            </w:tcBorders>
            <w:shd w:val="clear" w:color="auto" w:fill="auto"/>
            <w:vAlign w:val="bottom"/>
          </w:tcPr>
          <w:p w14:paraId="15CDF4CC" w14:textId="77777777" w:rsidR="006041CA" w:rsidRDefault="006041CA">
            <w:pPr>
              <w:spacing w:after="120" w:line="360" w:lineRule="auto"/>
              <w:rPr>
                <w:sz w:val="20"/>
                <w:szCs w:val="20"/>
              </w:rPr>
            </w:pPr>
          </w:p>
        </w:tc>
      </w:tr>
      <w:tr w:rsidR="006041CA" w14:paraId="59F701F1" w14:textId="77777777">
        <w:trPr>
          <w:trHeight w:val="315"/>
        </w:trPr>
        <w:tc>
          <w:tcPr>
            <w:tcW w:w="9962" w:type="dxa"/>
            <w:gridSpan w:val="4"/>
            <w:tcBorders>
              <w:top w:val="single" w:sz="8" w:space="0" w:color="000000"/>
              <w:left w:val="single" w:sz="8" w:space="0" w:color="000000"/>
              <w:bottom w:val="single" w:sz="8" w:space="0" w:color="000000"/>
              <w:right w:val="single" w:sz="8" w:space="0" w:color="000000"/>
            </w:tcBorders>
            <w:shd w:val="clear" w:color="auto" w:fill="6C0C4C"/>
            <w:vAlign w:val="center"/>
          </w:tcPr>
          <w:p w14:paraId="1DB593E2" w14:textId="77777777" w:rsidR="006041CA" w:rsidRDefault="001271CC">
            <w:pPr>
              <w:spacing w:after="120" w:line="360" w:lineRule="auto"/>
              <w:rPr>
                <w:b/>
                <w:color w:val="FFFFFF"/>
              </w:rPr>
            </w:pPr>
            <w:r>
              <w:rPr>
                <w:b/>
                <w:color w:val="FFFFFF"/>
              </w:rPr>
              <w:t>Tema de Evaluación: Presupuesto</w:t>
            </w:r>
          </w:p>
        </w:tc>
      </w:tr>
      <w:tr w:rsidR="006041CA" w14:paraId="44A050A5" w14:textId="77777777">
        <w:trPr>
          <w:trHeight w:val="315"/>
        </w:trPr>
        <w:tc>
          <w:tcPr>
            <w:tcW w:w="2710" w:type="dxa"/>
            <w:tcBorders>
              <w:top w:val="nil"/>
              <w:left w:val="single" w:sz="8" w:space="0" w:color="000000"/>
              <w:bottom w:val="single" w:sz="8" w:space="0" w:color="000000"/>
              <w:right w:val="single" w:sz="8" w:space="0" w:color="000000"/>
            </w:tcBorders>
            <w:shd w:val="clear" w:color="auto" w:fill="FFC4D4"/>
            <w:vAlign w:val="center"/>
          </w:tcPr>
          <w:p w14:paraId="74126745" w14:textId="77777777" w:rsidR="006041CA" w:rsidRDefault="001271CC">
            <w:pPr>
              <w:spacing w:after="120" w:line="360" w:lineRule="auto"/>
              <w:rPr>
                <w:b/>
                <w:color w:val="000000"/>
              </w:rPr>
            </w:pPr>
            <w:r>
              <w:rPr>
                <w:b/>
                <w:color w:val="000000"/>
              </w:rPr>
              <w:t>Fortalezas</w:t>
            </w:r>
          </w:p>
        </w:tc>
        <w:tc>
          <w:tcPr>
            <w:tcW w:w="3042" w:type="dxa"/>
            <w:tcBorders>
              <w:top w:val="nil"/>
              <w:left w:val="nil"/>
              <w:bottom w:val="single" w:sz="8" w:space="0" w:color="000000"/>
              <w:right w:val="single" w:sz="8" w:space="0" w:color="000000"/>
            </w:tcBorders>
            <w:shd w:val="clear" w:color="auto" w:fill="FFC4D4"/>
            <w:vAlign w:val="center"/>
          </w:tcPr>
          <w:p w14:paraId="0110B16A" w14:textId="77777777" w:rsidR="006041CA" w:rsidRDefault="001271CC">
            <w:pPr>
              <w:spacing w:after="120" w:line="360" w:lineRule="auto"/>
              <w:rPr>
                <w:b/>
                <w:color w:val="000000"/>
              </w:rPr>
            </w:pPr>
            <w:r>
              <w:rPr>
                <w:b/>
                <w:color w:val="000000"/>
              </w:rPr>
              <w:t>Oportunidades</w:t>
            </w:r>
          </w:p>
        </w:tc>
        <w:tc>
          <w:tcPr>
            <w:tcW w:w="1362" w:type="dxa"/>
            <w:tcBorders>
              <w:top w:val="nil"/>
              <w:left w:val="nil"/>
              <w:bottom w:val="single" w:sz="8" w:space="0" w:color="000000"/>
              <w:right w:val="single" w:sz="8" w:space="0" w:color="000000"/>
            </w:tcBorders>
            <w:shd w:val="clear" w:color="auto" w:fill="FFC4D4"/>
            <w:vAlign w:val="center"/>
          </w:tcPr>
          <w:p w14:paraId="7872DFFC" w14:textId="77777777" w:rsidR="006041CA" w:rsidRDefault="001271CC">
            <w:pPr>
              <w:spacing w:after="120" w:line="360" w:lineRule="auto"/>
              <w:rPr>
                <w:b/>
                <w:color w:val="000000"/>
              </w:rPr>
            </w:pPr>
            <w:r>
              <w:rPr>
                <w:b/>
                <w:color w:val="000000"/>
              </w:rPr>
              <w:t xml:space="preserve">Debilidades </w:t>
            </w:r>
          </w:p>
        </w:tc>
        <w:tc>
          <w:tcPr>
            <w:tcW w:w="2848" w:type="dxa"/>
            <w:tcBorders>
              <w:top w:val="nil"/>
              <w:left w:val="nil"/>
              <w:bottom w:val="single" w:sz="8" w:space="0" w:color="000000"/>
              <w:right w:val="single" w:sz="8" w:space="0" w:color="000000"/>
            </w:tcBorders>
            <w:shd w:val="clear" w:color="auto" w:fill="FFC4D4"/>
            <w:vAlign w:val="center"/>
          </w:tcPr>
          <w:p w14:paraId="6A07B464" w14:textId="77777777" w:rsidR="006041CA" w:rsidRDefault="001271CC">
            <w:pPr>
              <w:spacing w:after="120" w:line="360" w:lineRule="auto"/>
              <w:rPr>
                <w:b/>
                <w:color w:val="000000"/>
              </w:rPr>
            </w:pPr>
            <w:r>
              <w:rPr>
                <w:b/>
                <w:color w:val="000000"/>
              </w:rPr>
              <w:t>Amenazas</w:t>
            </w:r>
          </w:p>
        </w:tc>
      </w:tr>
      <w:tr w:rsidR="006041CA" w14:paraId="5C79CABE" w14:textId="77777777">
        <w:trPr>
          <w:trHeight w:val="615"/>
        </w:trPr>
        <w:tc>
          <w:tcPr>
            <w:tcW w:w="2710" w:type="dxa"/>
            <w:tcBorders>
              <w:top w:val="nil"/>
              <w:left w:val="single" w:sz="8" w:space="0" w:color="000000"/>
              <w:bottom w:val="single" w:sz="8" w:space="0" w:color="000000"/>
              <w:right w:val="single" w:sz="8" w:space="0" w:color="000000"/>
            </w:tcBorders>
            <w:shd w:val="clear" w:color="auto" w:fill="auto"/>
            <w:vAlign w:val="center"/>
          </w:tcPr>
          <w:p w14:paraId="5542AE7F" w14:textId="77777777" w:rsidR="006041CA" w:rsidRDefault="001271CC">
            <w:pPr>
              <w:spacing w:after="120" w:line="360" w:lineRule="auto"/>
              <w:rPr>
                <w:color w:val="000000"/>
              </w:rPr>
            </w:pPr>
            <w:r>
              <w:rPr>
                <w:color w:val="000000"/>
              </w:rPr>
              <w:t>Se pagó el 99.9% del recurso ministrado para el ejercicio fiscal 2023.</w:t>
            </w:r>
          </w:p>
        </w:tc>
        <w:tc>
          <w:tcPr>
            <w:tcW w:w="3042" w:type="dxa"/>
            <w:tcBorders>
              <w:top w:val="nil"/>
              <w:left w:val="nil"/>
              <w:bottom w:val="single" w:sz="8" w:space="0" w:color="000000"/>
              <w:right w:val="single" w:sz="8" w:space="0" w:color="000000"/>
            </w:tcBorders>
            <w:shd w:val="clear" w:color="auto" w:fill="auto"/>
            <w:vAlign w:val="center"/>
          </w:tcPr>
          <w:p w14:paraId="7A2D0ED5" w14:textId="77777777" w:rsidR="006041CA" w:rsidRDefault="001271CC">
            <w:pPr>
              <w:spacing w:after="120" w:line="360" w:lineRule="auto"/>
              <w:rPr>
                <w:b/>
                <w:color w:val="000000"/>
              </w:rPr>
            </w:pPr>
            <w:r>
              <w:rPr>
                <w:b/>
                <w:color w:val="000000"/>
              </w:rPr>
              <w:t> </w:t>
            </w:r>
          </w:p>
        </w:tc>
        <w:tc>
          <w:tcPr>
            <w:tcW w:w="1362" w:type="dxa"/>
            <w:tcBorders>
              <w:top w:val="nil"/>
              <w:left w:val="nil"/>
              <w:bottom w:val="single" w:sz="8" w:space="0" w:color="000000"/>
              <w:right w:val="single" w:sz="8" w:space="0" w:color="000000"/>
            </w:tcBorders>
            <w:shd w:val="clear" w:color="auto" w:fill="auto"/>
            <w:vAlign w:val="center"/>
          </w:tcPr>
          <w:p w14:paraId="2D9EF345" w14:textId="77777777" w:rsidR="006041CA" w:rsidRDefault="001271CC">
            <w:pPr>
              <w:spacing w:after="120" w:line="360" w:lineRule="auto"/>
              <w:rPr>
                <w:b/>
                <w:color w:val="000000"/>
              </w:rPr>
            </w:pPr>
            <w:r>
              <w:rPr>
                <w:b/>
                <w:color w:val="000000"/>
              </w:rPr>
              <w:t> </w:t>
            </w:r>
          </w:p>
        </w:tc>
        <w:tc>
          <w:tcPr>
            <w:tcW w:w="2848" w:type="dxa"/>
            <w:tcBorders>
              <w:top w:val="nil"/>
              <w:left w:val="nil"/>
              <w:bottom w:val="single" w:sz="8" w:space="0" w:color="000000"/>
              <w:right w:val="single" w:sz="8" w:space="0" w:color="000000"/>
            </w:tcBorders>
            <w:shd w:val="clear" w:color="auto" w:fill="auto"/>
            <w:vAlign w:val="center"/>
          </w:tcPr>
          <w:p w14:paraId="45E77B80" w14:textId="77777777" w:rsidR="006041CA" w:rsidRDefault="001271CC">
            <w:pPr>
              <w:spacing w:after="120" w:line="360" w:lineRule="auto"/>
              <w:rPr>
                <w:b/>
                <w:color w:val="000000"/>
              </w:rPr>
            </w:pPr>
            <w:r>
              <w:rPr>
                <w:b/>
                <w:color w:val="000000"/>
              </w:rPr>
              <w:t> </w:t>
            </w:r>
          </w:p>
        </w:tc>
      </w:tr>
      <w:tr w:rsidR="006041CA" w14:paraId="50464551" w14:textId="77777777">
        <w:trPr>
          <w:trHeight w:val="915"/>
        </w:trPr>
        <w:tc>
          <w:tcPr>
            <w:tcW w:w="2710" w:type="dxa"/>
            <w:tcBorders>
              <w:top w:val="nil"/>
              <w:left w:val="single" w:sz="8" w:space="0" w:color="000000"/>
              <w:bottom w:val="single" w:sz="8" w:space="0" w:color="000000"/>
              <w:right w:val="single" w:sz="8" w:space="0" w:color="000000"/>
            </w:tcBorders>
            <w:shd w:val="clear" w:color="auto" w:fill="auto"/>
            <w:vAlign w:val="center"/>
          </w:tcPr>
          <w:p w14:paraId="4763D4C8" w14:textId="77777777" w:rsidR="006041CA" w:rsidRDefault="001271CC">
            <w:pPr>
              <w:spacing w:after="120" w:line="360" w:lineRule="auto"/>
              <w:rPr>
                <w:color w:val="000000"/>
              </w:rPr>
            </w:pPr>
            <w:r>
              <w:rPr>
                <w:color w:val="000000"/>
              </w:rPr>
              <w:t>Se presenta un aumento del recurso ministrado nominal durante el periodo 2021-2023.</w:t>
            </w:r>
          </w:p>
        </w:tc>
        <w:tc>
          <w:tcPr>
            <w:tcW w:w="3042" w:type="dxa"/>
            <w:tcBorders>
              <w:top w:val="nil"/>
              <w:left w:val="nil"/>
              <w:bottom w:val="single" w:sz="8" w:space="0" w:color="000000"/>
              <w:right w:val="single" w:sz="8" w:space="0" w:color="000000"/>
            </w:tcBorders>
            <w:shd w:val="clear" w:color="auto" w:fill="auto"/>
            <w:vAlign w:val="center"/>
          </w:tcPr>
          <w:p w14:paraId="5BE6DCDD" w14:textId="77777777" w:rsidR="006041CA" w:rsidRDefault="001271CC">
            <w:pPr>
              <w:spacing w:after="120" w:line="360" w:lineRule="auto"/>
              <w:rPr>
                <w:b/>
                <w:color w:val="000000"/>
              </w:rPr>
            </w:pPr>
            <w:r>
              <w:rPr>
                <w:b/>
                <w:color w:val="000000"/>
              </w:rPr>
              <w:t> </w:t>
            </w:r>
          </w:p>
        </w:tc>
        <w:tc>
          <w:tcPr>
            <w:tcW w:w="1362" w:type="dxa"/>
            <w:tcBorders>
              <w:top w:val="nil"/>
              <w:left w:val="nil"/>
              <w:bottom w:val="single" w:sz="8" w:space="0" w:color="000000"/>
              <w:right w:val="single" w:sz="8" w:space="0" w:color="000000"/>
            </w:tcBorders>
            <w:shd w:val="clear" w:color="auto" w:fill="auto"/>
            <w:vAlign w:val="center"/>
          </w:tcPr>
          <w:p w14:paraId="42B3ECD1" w14:textId="77777777" w:rsidR="006041CA" w:rsidRDefault="001271CC">
            <w:pPr>
              <w:spacing w:after="120" w:line="360" w:lineRule="auto"/>
              <w:rPr>
                <w:b/>
                <w:color w:val="000000"/>
              </w:rPr>
            </w:pPr>
            <w:r>
              <w:rPr>
                <w:b/>
                <w:color w:val="000000"/>
              </w:rPr>
              <w:t> </w:t>
            </w:r>
          </w:p>
        </w:tc>
        <w:tc>
          <w:tcPr>
            <w:tcW w:w="2848" w:type="dxa"/>
            <w:tcBorders>
              <w:top w:val="nil"/>
              <w:left w:val="nil"/>
              <w:bottom w:val="single" w:sz="8" w:space="0" w:color="000000"/>
              <w:right w:val="single" w:sz="8" w:space="0" w:color="000000"/>
            </w:tcBorders>
            <w:shd w:val="clear" w:color="auto" w:fill="auto"/>
            <w:vAlign w:val="center"/>
          </w:tcPr>
          <w:p w14:paraId="0B90E24C" w14:textId="77777777" w:rsidR="006041CA" w:rsidRDefault="001271CC">
            <w:pPr>
              <w:spacing w:after="120" w:line="360" w:lineRule="auto"/>
              <w:rPr>
                <w:b/>
                <w:color w:val="000000"/>
              </w:rPr>
            </w:pPr>
            <w:r>
              <w:rPr>
                <w:b/>
                <w:color w:val="000000"/>
              </w:rPr>
              <w:t> </w:t>
            </w:r>
          </w:p>
        </w:tc>
      </w:tr>
      <w:tr w:rsidR="006041CA" w14:paraId="09321F1D" w14:textId="77777777">
        <w:trPr>
          <w:trHeight w:val="915"/>
        </w:trPr>
        <w:tc>
          <w:tcPr>
            <w:tcW w:w="2710" w:type="dxa"/>
            <w:tcBorders>
              <w:top w:val="nil"/>
              <w:left w:val="single" w:sz="8" w:space="0" w:color="000000"/>
              <w:bottom w:val="single" w:sz="8" w:space="0" w:color="000000"/>
              <w:right w:val="single" w:sz="8" w:space="0" w:color="000000"/>
            </w:tcBorders>
            <w:shd w:val="clear" w:color="auto" w:fill="auto"/>
            <w:vAlign w:val="center"/>
          </w:tcPr>
          <w:p w14:paraId="32DE07BF" w14:textId="77777777" w:rsidR="006041CA" w:rsidRDefault="001271CC">
            <w:pPr>
              <w:spacing w:after="120" w:line="360" w:lineRule="auto"/>
              <w:rPr>
                <w:color w:val="000000"/>
              </w:rPr>
            </w:pPr>
            <w:r>
              <w:rPr>
                <w:color w:val="000000"/>
              </w:rPr>
              <w:t>Se identifica un aumento del recurso ministrado real del ejercicio fiscal 2023 con respecto al 2022.</w:t>
            </w:r>
          </w:p>
        </w:tc>
        <w:tc>
          <w:tcPr>
            <w:tcW w:w="3042" w:type="dxa"/>
            <w:tcBorders>
              <w:top w:val="nil"/>
              <w:left w:val="nil"/>
              <w:bottom w:val="single" w:sz="8" w:space="0" w:color="000000"/>
              <w:right w:val="single" w:sz="8" w:space="0" w:color="000000"/>
            </w:tcBorders>
            <w:shd w:val="clear" w:color="auto" w:fill="auto"/>
            <w:vAlign w:val="center"/>
          </w:tcPr>
          <w:p w14:paraId="0ADC03A1" w14:textId="77777777" w:rsidR="006041CA" w:rsidRDefault="001271CC">
            <w:pPr>
              <w:spacing w:after="120" w:line="360" w:lineRule="auto"/>
              <w:rPr>
                <w:b/>
                <w:color w:val="000000"/>
              </w:rPr>
            </w:pPr>
            <w:r>
              <w:rPr>
                <w:b/>
                <w:color w:val="000000"/>
              </w:rPr>
              <w:t> </w:t>
            </w:r>
          </w:p>
        </w:tc>
        <w:tc>
          <w:tcPr>
            <w:tcW w:w="1362" w:type="dxa"/>
            <w:tcBorders>
              <w:top w:val="nil"/>
              <w:left w:val="nil"/>
              <w:bottom w:val="single" w:sz="8" w:space="0" w:color="000000"/>
              <w:right w:val="single" w:sz="8" w:space="0" w:color="000000"/>
            </w:tcBorders>
            <w:shd w:val="clear" w:color="auto" w:fill="auto"/>
            <w:vAlign w:val="center"/>
          </w:tcPr>
          <w:p w14:paraId="3583F7C7" w14:textId="77777777" w:rsidR="006041CA" w:rsidRDefault="001271CC">
            <w:pPr>
              <w:spacing w:after="120" w:line="360" w:lineRule="auto"/>
              <w:rPr>
                <w:b/>
                <w:color w:val="000000"/>
              </w:rPr>
            </w:pPr>
            <w:r>
              <w:rPr>
                <w:b/>
                <w:color w:val="000000"/>
              </w:rPr>
              <w:t> </w:t>
            </w:r>
          </w:p>
        </w:tc>
        <w:tc>
          <w:tcPr>
            <w:tcW w:w="2848" w:type="dxa"/>
            <w:tcBorders>
              <w:top w:val="nil"/>
              <w:left w:val="nil"/>
              <w:bottom w:val="single" w:sz="8" w:space="0" w:color="000000"/>
              <w:right w:val="single" w:sz="8" w:space="0" w:color="000000"/>
            </w:tcBorders>
            <w:shd w:val="clear" w:color="auto" w:fill="auto"/>
            <w:vAlign w:val="center"/>
          </w:tcPr>
          <w:p w14:paraId="22C5614A" w14:textId="77777777" w:rsidR="006041CA" w:rsidRDefault="001271CC">
            <w:pPr>
              <w:spacing w:after="120" w:line="360" w:lineRule="auto"/>
              <w:rPr>
                <w:b/>
                <w:color w:val="000000"/>
              </w:rPr>
            </w:pPr>
            <w:r>
              <w:rPr>
                <w:b/>
                <w:color w:val="000000"/>
              </w:rPr>
              <w:t> </w:t>
            </w:r>
          </w:p>
        </w:tc>
      </w:tr>
      <w:tr w:rsidR="006041CA" w14:paraId="213D2E85" w14:textId="77777777">
        <w:trPr>
          <w:trHeight w:val="1215"/>
        </w:trPr>
        <w:tc>
          <w:tcPr>
            <w:tcW w:w="2710" w:type="dxa"/>
            <w:tcBorders>
              <w:top w:val="nil"/>
              <w:left w:val="single" w:sz="8" w:space="0" w:color="000000"/>
              <w:bottom w:val="single" w:sz="8" w:space="0" w:color="000000"/>
              <w:right w:val="single" w:sz="8" w:space="0" w:color="000000"/>
            </w:tcBorders>
            <w:shd w:val="clear" w:color="auto" w:fill="auto"/>
            <w:vAlign w:val="center"/>
          </w:tcPr>
          <w:p w14:paraId="62E05D18" w14:textId="77777777" w:rsidR="006041CA" w:rsidRDefault="001271CC">
            <w:pPr>
              <w:spacing w:after="120" w:line="360" w:lineRule="auto"/>
              <w:rPr>
                <w:color w:val="000000"/>
              </w:rPr>
            </w:pPr>
            <w:r>
              <w:rPr>
                <w:color w:val="000000"/>
              </w:rPr>
              <w:t>El ejercicio de los recursos del FONE se apegan a la normatividad aplicable y presenta congruencia con los Componentes de la MIR del Pp.</w:t>
            </w:r>
          </w:p>
        </w:tc>
        <w:tc>
          <w:tcPr>
            <w:tcW w:w="3042" w:type="dxa"/>
            <w:tcBorders>
              <w:top w:val="nil"/>
              <w:left w:val="nil"/>
              <w:bottom w:val="single" w:sz="8" w:space="0" w:color="000000"/>
              <w:right w:val="single" w:sz="8" w:space="0" w:color="000000"/>
            </w:tcBorders>
            <w:shd w:val="clear" w:color="auto" w:fill="auto"/>
            <w:vAlign w:val="center"/>
          </w:tcPr>
          <w:p w14:paraId="54605F73" w14:textId="77777777" w:rsidR="006041CA" w:rsidRDefault="001271CC">
            <w:pPr>
              <w:spacing w:after="120" w:line="360" w:lineRule="auto"/>
              <w:rPr>
                <w:b/>
                <w:color w:val="000000"/>
              </w:rPr>
            </w:pPr>
            <w:r>
              <w:rPr>
                <w:b/>
                <w:color w:val="000000"/>
              </w:rPr>
              <w:t> </w:t>
            </w:r>
          </w:p>
        </w:tc>
        <w:tc>
          <w:tcPr>
            <w:tcW w:w="1362" w:type="dxa"/>
            <w:tcBorders>
              <w:top w:val="nil"/>
              <w:left w:val="nil"/>
              <w:bottom w:val="single" w:sz="8" w:space="0" w:color="000000"/>
              <w:right w:val="single" w:sz="8" w:space="0" w:color="000000"/>
            </w:tcBorders>
            <w:shd w:val="clear" w:color="auto" w:fill="auto"/>
            <w:vAlign w:val="center"/>
          </w:tcPr>
          <w:p w14:paraId="103A90AD" w14:textId="77777777" w:rsidR="006041CA" w:rsidRDefault="001271CC">
            <w:pPr>
              <w:spacing w:after="120" w:line="360" w:lineRule="auto"/>
              <w:rPr>
                <w:b/>
                <w:color w:val="000000"/>
              </w:rPr>
            </w:pPr>
            <w:r>
              <w:rPr>
                <w:b/>
                <w:color w:val="000000"/>
              </w:rPr>
              <w:t> </w:t>
            </w:r>
          </w:p>
        </w:tc>
        <w:tc>
          <w:tcPr>
            <w:tcW w:w="2848" w:type="dxa"/>
            <w:tcBorders>
              <w:top w:val="nil"/>
              <w:left w:val="nil"/>
              <w:bottom w:val="single" w:sz="8" w:space="0" w:color="000000"/>
              <w:right w:val="single" w:sz="8" w:space="0" w:color="000000"/>
            </w:tcBorders>
            <w:shd w:val="clear" w:color="auto" w:fill="auto"/>
            <w:vAlign w:val="center"/>
          </w:tcPr>
          <w:p w14:paraId="31CD04C8" w14:textId="77777777" w:rsidR="006041CA" w:rsidRDefault="001271CC">
            <w:pPr>
              <w:spacing w:after="120" w:line="360" w:lineRule="auto"/>
              <w:rPr>
                <w:b/>
                <w:color w:val="000000"/>
              </w:rPr>
            </w:pPr>
            <w:r>
              <w:rPr>
                <w:b/>
                <w:color w:val="000000"/>
              </w:rPr>
              <w:t> </w:t>
            </w:r>
          </w:p>
        </w:tc>
      </w:tr>
      <w:tr w:rsidR="006041CA" w14:paraId="4C59DA84" w14:textId="77777777">
        <w:trPr>
          <w:trHeight w:val="315"/>
        </w:trPr>
        <w:tc>
          <w:tcPr>
            <w:tcW w:w="2710" w:type="dxa"/>
            <w:tcBorders>
              <w:top w:val="nil"/>
              <w:left w:val="nil"/>
              <w:bottom w:val="nil"/>
              <w:right w:val="nil"/>
            </w:tcBorders>
            <w:shd w:val="clear" w:color="auto" w:fill="auto"/>
            <w:vAlign w:val="bottom"/>
          </w:tcPr>
          <w:p w14:paraId="432E7131" w14:textId="77777777" w:rsidR="006041CA" w:rsidRDefault="006041CA">
            <w:pPr>
              <w:spacing w:after="120" w:line="360" w:lineRule="auto"/>
              <w:rPr>
                <w:b/>
                <w:color w:val="000000"/>
              </w:rPr>
            </w:pPr>
          </w:p>
        </w:tc>
        <w:tc>
          <w:tcPr>
            <w:tcW w:w="3042" w:type="dxa"/>
            <w:tcBorders>
              <w:top w:val="nil"/>
              <w:left w:val="nil"/>
              <w:bottom w:val="nil"/>
              <w:right w:val="nil"/>
            </w:tcBorders>
            <w:shd w:val="clear" w:color="auto" w:fill="auto"/>
            <w:vAlign w:val="bottom"/>
          </w:tcPr>
          <w:p w14:paraId="67B94C93" w14:textId="77777777" w:rsidR="006041CA" w:rsidRDefault="006041CA">
            <w:pPr>
              <w:spacing w:after="120" w:line="360" w:lineRule="auto"/>
              <w:rPr>
                <w:sz w:val="20"/>
                <w:szCs w:val="20"/>
              </w:rPr>
            </w:pPr>
          </w:p>
        </w:tc>
        <w:tc>
          <w:tcPr>
            <w:tcW w:w="1362" w:type="dxa"/>
            <w:tcBorders>
              <w:top w:val="nil"/>
              <w:left w:val="nil"/>
              <w:bottom w:val="nil"/>
              <w:right w:val="nil"/>
            </w:tcBorders>
            <w:shd w:val="clear" w:color="auto" w:fill="auto"/>
            <w:vAlign w:val="bottom"/>
          </w:tcPr>
          <w:p w14:paraId="4ABB9332" w14:textId="77777777" w:rsidR="006041CA" w:rsidRDefault="006041CA">
            <w:pPr>
              <w:spacing w:after="120" w:line="360" w:lineRule="auto"/>
              <w:rPr>
                <w:sz w:val="20"/>
                <w:szCs w:val="20"/>
              </w:rPr>
            </w:pPr>
          </w:p>
        </w:tc>
        <w:tc>
          <w:tcPr>
            <w:tcW w:w="2848" w:type="dxa"/>
            <w:tcBorders>
              <w:top w:val="nil"/>
              <w:left w:val="nil"/>
              <w:bottom w:val="nil"/>
              <w:right w:val="nil"/>
            </w:tcBorders>
            <w:shd w:val="clear" w:color="auto" w:fill="auto"/>
            <w:vAlign w:val="bottom"/>
          </w:tcPr>
          <w:p w14:paraId="190ABF4E" w14:textId="77777777" w:rsidR="006041CA" w:rsidRDefault="006041CA">
            <w:pPr>
              <w:spacing w:after="120" w:line="360" w:lineRule="auto"/>
              <w:rPr>
                <w:sz w:val="20"/>
                <w:szCs w:val="20"/>
              </w:rPr>
            </w:pPr>
          </w:p>
        </w:tc>
      </w:tr>
      <w:tr w:rsidR="006041CA" w14:paraId="3F9FFF6E" w14:textId="77777777">
        <w:trPr>
          <w:trHeight w:val="315"/>
        </w:trPr>
        <w:tc>
          <w:tcPr>
            <w:tcW w:w="9962" w:type="dxa"/>
            <w:gridSpan w:val="4"/>
            <w:tcBorders>
              <w:top w:val="single" w:sz="8" w:space="0" w:color="000000"/>
              <w:left w:val="single" w:sz="8" w:space="0" w:color="000000"/>
              <w:bottom w:val="single" w:sz="8" w:space="0" w:color="000000"/>
              <w:right w:val="single" w:sz="8" w:space="0" w:color="000000"/>
            </w:tcBorders>
            <w:shd w:val="clear" w:color="auto" w:fill="6C0C4C"/>
            <w:vAlign w:val="center"/>
          </w:tcPr>
          <w:p w14:paraId="2E20E939" w14:textId="77777777" w:rsidR="006041CA" w:rsidRDefault="001271CC">
            <w:pPr>
              <w:spacing w:after="120" w:line="360" w:lineRule="auto"/>
              <w:rPr>
                <w:b/>
                <w:color w:val="FFFFFF"/>
              </w:rPr>
            </w:pPr>
            <w:r>
              <w:rPr>
                <w:b/>
                <w:color w:val="FFFFFF"/>
              </w:rPr>
              <w:t>Tema de Evaluación: Cobertura</w:t>
            </w:r>
          </w:p>
        </w:tc>
      </w:tr>
      <w:tr w:rsidR="006041CA" w14:paraId="034F2708" w14:textId="77777777">
        <w:trPr>
          <w:trHeight w:val="315"/>
        </w:trPr>
        <w:tc>
          <w:tcPr>
            <w:tcW w:w="2710" w:type="dxa"/>
            <w:tcBorders>
              <w:top w:val="nil"/>
              <w:left w:val="single" w:sz="8" w:space="0" w:color="000000"/>
              <w:bottom w:val="single" w:sz="8" w:space="0" w:color="000000"/>
              <w:right w:val="single" w:sz="8" w:space="0" w:color="000000"/>
            </w:tcBorders>
            <w:shd w:val="clear" w:color="auto" w:fill="FFC4D4"/>
            <w:vAlign w:val="center"/>
          </w:tcPr>
          <w:p w14:paraId="781702FD" w14:textId="77777777" w:rsidR="006041CA" w:rsidRDefault="001271CC">
            <w:pPr>
              <w:spacing w:after="120" w:line="360" w:lineRule="auto"/>
              <w:rPr>
                <w:b/>
                <w:color w:val="000000"/>
              </w:rPr>
            </w:pPr>
            <w:r>
              <w:rPr>
                <w:b/>
                <w:color w:val="000000"/>
              </w:rPr>
              <w:t>Fortalezas</w:t>
            </w:r>
          </w:p>
        </w:tc>
        <w:tc>
          <w:tcPr>
            <w:tcW w:w="3042" w:type="dxa"/>
            <w:tcBorders>
              <w:top w:val="nil"/>
              <w:left w:val="nil"/>
              <w:bottom w:val="single" w:sz="8" w:space="0" w:color="000000"/>
              <w:right w:val="single" w:sz="8" w:space="0" w:color="000000"/>
            </w:tcBorders>
            <w:shd w:val="clear" w:color="auto" w:fill="FFC4D4"/>
            <w:vAlign w:val="center"/>
          </w:tcPr>
          <w:p w14:paraId="25DA908F" w14:textId="77777777" w:rsidR="006041CA" w:rsidRDefault="001271CC">
            <w:pPr>
              <w:spacing w:after="120" w:line="360" w:lineRule="auto"/>
              <w:rPr>
                <w:b/>
                <w:color w:val="000000"/>
              </w:rPr>
            </w:pPr>
            <w:r>
              <w:rPr>
                <w:b/>
                <w:color w:val="000000"/>
              </w:rPr>
              <w:t>Oportunidades</w:t>
            </w:r>
          </w:p>
        </w:tc>
        <w:tc>
          <w:tcPr>
            <w:tcW w:w="1362" w:type="dxa"/>
            <w:tcBorders>
              <w:top w:val="nil"/>
              <w:left w:val="nil"/>
              <w:bottom w:val="single" w:sz="8" w:space="0" w:color="000000"/>
              <w:right w:val="single" w:sz="8" w:space="0" w:color="000000"/>
            </w:tcBorders>
            <w:shd w:val="clear" w:color="auto" w:fill="FFC4D4"/>
            <w:vAlign w:val="center"/>
          </w:tcPr>
          <w:p w14:paraId="4CE8801C" w14:textId="77777777" w:rsidR="006041CA" w:rsidRDefault="001271CC">
            <w:pPr>
              <w:spacing w:after="120" w:line="360" w:lineRule="auto"/>
              <w:rPr>
                <w:b/>
                <w:color w:val="000000"/>
              </w:rPr>
            </w:pPr>
            <w:r>
              <w:rPr>
                <w:b/>
                <w:color w:val="000000"/>
              </w:rPr>
              <w:t xml:space="preserve">Debilidades </w:t>
            </w:r>
          </w:p>
        </w:tc>
        <w:tc>
          <w:tcPr>
            <w:tcW w:w="2848" w:type="dxa"/>
            <w:tcBorders>
              <w:top w:val="nil"/>
              <w:left w:val="nil"/>
              <w:bottom w:val="single" w:sz="8" w:space="0" w:color="000000"/>
              <w:right w:val="single" w:sz="8" w:space="0" w:color="000000"/>
            </w:tcBorders>
            <w:shd w:val="clear" w:color="auto" w:fill="FFC4D4"/>
            <w:vAlign w:val="center"/>
          </w:tcPr>
          <w:p w14:paraId="0E879AED" w14:textId="77777777" w:rsidR="006041CA" w:rsidRDefault="001271CC">
            <w:pPr>
              <w:spacing w:after="120" w:line="360" w:lineRule="auto"/>
              <w:rPr>
                <w:b/>
                <w:color w:val="000000"/>
              </w:rPr>
            </w:pPr>
            <w:r>
              <w:rPr>
                <w:b/>
                <w:color w:val="000000"/>
              </w:rPr>
              <w:t>Amenazas</w:t>
            </w:r>
          </w:p>
        </w:tc>
      </w:tr>
      <w:tr w:rsidR="006041CA" w14:paraId="45F37FB6" w14:textId="77777777">
        <w:trPr>
          <w:trHeight w:val="915"/>
        </w:trPr>
        <w:tc>
          <w:tcPr>
            <w:tcW w:w="2710" w:type="dxa"/>
            <w:tcBorders>
              <w:top w:val="nil"/>
              <w:left w:val="single" w:sz="8" w:space="0" w:color="000000"/>
              <w:bottom w:val="single" w:sz="8" w:space="0" w:color="000000"/>
              <w:right w:val="single" w:sz="8" w:space="0" w:color="000000"/>
            </w:tcBorders>
            <w:shd w:val="clear" w:color="auto" w:fill="auto"/>
            <w:vAlign w:val="center"/>
          </w:tcPr>
          <w:p w14:paraId="0E990279" w14:textId="77777777" w:rsidR="006041CA" w:rsidRDefault="001271CC">
            <w:pPr>
              <w:spacing w:after="120" w:line="360" w:lineRule="auto"/>
              <w:rPr>
                <w:color w:val="000000"/>
              </w:rPr>
            </w:pPr>
            <w:r>
              <w:rPr>
                <w:color w:val="000000"/>
              </w:rPr>
              <w:t>Se cuenta con una estrategia de cobertura por parte del ente público encargado del Programa presupuestario.</w:t>
            </w:r>
          </w:p>
        </w:tc>
        <w:tc>
          <w:tcPr>
            <w:tcW w:w="3042" w:type="dxa"/>
            <w:tcBorders>
              <w:top w:val="nil"/>
              <w:left w:val="nil"/>
              <w:bottom w:val="single" w:sz="8" w:space="0" w:color="000000"/>
              <w:right w:val="single" w:sz="8" w:space="0" w:color="000000"/>
            </w:tcBorders>
            <w:shd w:val="clear" w:color="auto" w:fill="auto"/>
            <w:vAlign w:val="center"/>
          </w:tcPr>
          <w:p w14:paraId="1F00A804" w14:textId="77777777" w:rsidR="006041CA" w:rsidRDefault="001271CC">
            <w:pPr>
              <w:spacing w:after="120" w:line="360" w:lineRule="auto"/>
              <w:rPr>
                <w:color w:val="000000"/>
              </w:rPr>
            </w:pPr>
            <w:r>
              <w:rPr>
                <w:color w:val="000000"/>
              </w:rPr>
              <w:t> </w:t>
            </w:r>
          </w:p>
        </w:tc>
        <w:tc>
          <w:tcPr>
            <w:tcW w:w="1362" w:type="dxa"/>
            <w:tcBorders>
              <w:top w:val="nil"/>
              <w:left w:val="nil"/>
              <w:bottom w:val="single" w:sz="8" w:space="0" w:color="000000"/>
              <w:right w:val="single" w:sz="8" w:space="0" w:color="000000"/>
            </w:tcBorders>
            <w:shd w:val="clear" w:color="auto" w:fill="auto"/>
            <w:vAlign w:val="center"/>
          </w:tcPr>
          <w:p w14:paraId="773A5394" w14:textId="77777777" w:rsidR="006041CA" w:rsidRDefault="001271CC">
            <w:pPr>
              <w:spacing w:after="120" w:line="360" w:lineRule="auto"/>
              <w:rPr>
                <w:color w:val="000000"/>
              </w:rPr>
            </w:pPr>
            <w:r>
              <w:rPr>
                <w:color w:val="000000"/>
              </w:rPr>
              <w:t> </w:t>
            </w:r>
          </w:p>
        </w:tc>
        <w:tc>
          <w:tcPr>
            <w:tcW w:w="2848" w:type="dxa"/>
            <w:tcBorders>
              <w:top w:val="nil"/>
              <w:left w:val="nil"/>
              <w:bottom w:val="single" w:sz="8" w:space="0" w:color="000000"/>
              <w:right w:val="single" w:sz="8" w:space="0" w:color="000000"/>
            </w:tcBorders>
            <w:shd w:val="clear" w:color="auto" w:fill="auto"/>
            <w:vAlign w:val="center"/>
          </w:tcPr>
          <w:p w14:paraId="13A54277" w14:textId="77777777" w:rsidR="006041CA" w:rsidRDefault="001271CC">
            <w:pPr>
              <w:spacing w:after="120" w:line="360" w:lineRule="auto"/>
              <w:rPr>
                <w:color w:val="000000"/>
              </w:rPr>
            </w:pPr>
            <w:r>
              <w:rPr>
                <w:color w:val="000000"/>
              </w:rPr>
              <w:t> </w:t>
            </w:r>
          </w:p>
        </w:tc>
      </w:tr>
      <w:tr w:rsidR="006041CA" w14:paraId="6FD46E50" w14:textId="77777777">
        <w:trPr>
          <w:trHeight w:val="615"/>
        </w:trPr>
        <w:tc>
          <w:tcPr>
            <w:tcW w:w="2710" w:type="dxa"/>
            <w:tcBorders>
              <w:top w:val="nil"/>
              <w:left w:val="single" w:sz="8" w:space="0" w:color="000000"/>
              <w:bottom w:val="single" w:sz="8" w:space="0" w:color="000000"/>
              <w:right w:val="single" w:sz="8" w:space="0" w:color="000000"/>
            </w:tcBorders>
            <w:shd w:val="clear" w:color="auto" w:fill="auto"/>
            <w:vAlign w:val="center"/>
          </w:tcPr>
          <w:p w14:paraId="2977309A" w14:textId="77777777" w:rsidR="006041CA" w:rsidRDefault="001271CC">
            <w:pPr>
              <w:spacing w:after="120" w:line="360" w:lineRule="auto"/>
              <w:rPr>
                <w:color w:val="000000"/>
              </w:rPr>
            </w:pPr>
            <w:r>
              <w:rPr>
                <w:color w:val="000000"/>
              </w:rPr>
              <w:t>Para el ejercicio fiscal 2023 se identifica una Eficacia de Cobertura del 100%.</w:t>
            </w:r>
          </w:p>
        </w:tc>
        <w:tc>
          <w:tcPr>
            <w:tcW w:w="3042" w:type="dxa"/>
            <w:tcBorders>
              <w:top w:val="nil"/>
              <w:left w:val="nil"/>
              <w:bottom w:val="single" w:sz="8" w:space="0" w:color="000000"/>
              <w:right w:val="single" w:sz="8" w:space="0" w:color="000000"/>
            </w:tcBorders>
            <w:shd w:val="clear" w:color="auto" w:fill="auto"/>
            <w:vAlign w:val="center"/>
          </w:tcPr>
          <w:p w14:paraId="5C90425C" w14:textId="77777777" w:rsidR="006041CA" w:rsidRDefault="001271CC">
            <w:pPr>
              <w:spacing w:after="120" w:line="360" w:lineRule="auto"/>
              <w:rPr>
                <w:color w:val="000000"/>
              </w:rPr>
            </w:pPr>
            <w:r>
              <w:rPr>
                <w:color w:val="000000"/>
              </w:rPr>
              <w:t> </w:t>
            </w:r>
          </w:p>
        </w:tc>
        <w:tc>
          <w:tcPr>
            <w:tcW w:w="1362" w:type="dxa"/>
            <w:tcBorders>
              <w:top w:val="nil"/>
              <w:left w:val="nil"/>
              <w:bottom w:val="single" w:sz="8" w:space="0" w:color="000000"/>
              <w:right w:val="single" w:sz="8" w:space="0" w:color="000000"/>
            </w:tcBorders>
            <w:shd w:val="clear" w:color="auto" w:fill="auto"/>
            <w:vAlign w:val="center"/>
          </w:tcPr>
          <w:p w14:paraId="254EA907" w14:textId="77777777" w:rsidR="006041CA" w:rsidRDefault="001271CC">
            <w:pPr>
              <w:spacing w:after="120" w:line="360" w:lineRule="auto"/>
              <w:rPr>
                <w:color w:val="000000"/>
              </w:rPr>
            </w:pPr>
            <w:r>
              <w:rPr>
                <w:color w:val="000000"/>
              </w:rPr>
              <w:t> </w:t>
            </w:r>
          </w:p>
        </w:tc>
        <w:tc>
          <w:tcPr>
            <w:tcW w:w="2848" w:type="dxa"/>
            <w:tcBorders>
              <w:top w:val="nil"/>
              <w:left w:val="nil"/>
              <w:bottom w:val="single" w:sz="8" w:space="0" w:color="000000"/>
              <w:right w:val="single" w:sz="8" w:space="0" w:color="000000"/>
            </w:tcBorders>
            <w:shd w:val="clear" w:color="auto" w:fill="auto"/>
            <w:vAlign w:val="center"/>
          </w:tcPr>
          <w:p w14:paraId="55B730B5" w14:textId="77777777" w:rsidR="006041CA" w:rsidRDefault="001271CC">
            <w:pPr>
              <w:spacing w:after="120" w:line="360" w:lineRule="auto"/>
              <w:rPr>
                <w:color w:val="000000"/>
              </w:rPr>
            </w:pPr>
            <w:r>
              <w:rPr>
                <w:color w:val="000000"/>
              </w:rPr>
              <w:t> </w:t>
            </w:r>
          </w:p>
        </w:tc>
      </w:tr>
      <w:tr w:rsidR="006041CA" w14:paraId="14541E1C" w14:textId="77777777">
        <w:trPr>
          <w:trHeight w:val="915"/>
        </w:trPr>
        <w:tc>
          <w:tcPr>
            <w:tcW w:w="2710" w:type="dxa"/>
            <w:tcBorders>
              <w:top w:val="nil"/>
              <w:left w:val="single" w:sz="8" w:space="0" w:color="000000"/>
              <w:bottom w:val="single" w:sz="8" w:space="0" w:color="000000"/>
              <w:right w:val="single" w:sz="8" w:space="0" w:color="000000"/>
            </w:tcBorders>
            <w:shd w:val="clear" w:color="auto" w:fill="auto"/>
            <w:vAlign w:val="center"/>
          </w:tcPr>
          <w:p w14:paraId="4398D5BE" w14:textId="77777777" w:rsidR="006041CA" w:rsidRDefault="001271CC">
            <w:pPr>
              <w:spacing w:after="120" w:line="360" w:lineRule="auto"/>
              <w:rPr>
                <w:color w:val="000000"/>
              </w:rPr>
            </w:pPr>
            <w:r>
              <w:rPr>
                <w:color w:val="000000"/>
              </w:rPr>
              <w:t>Se incrementa la eficiencia de cobertura del 2021 al 2022 y este resultado se sostiene en el ejercicio 2023</w:t>
            </w:r>
          </w:p>
        </w:tc>
        <w:tc>
          <w:tcPr>
            <w:tcW w:w="3042" w:type="dxa"/>
            <w:tcBorders>
              <w:top w:val="nil"/>
              <w:left w:val="nil"/>
              <w:bottom w:val="single" w:sz="8" w:space="0" w:color="000000"/>
              <w:right w:val="single" w:sz="8" w:space="0" w:color="000000"/>
            </w:tcBorders>
            <w:shd w:val="clear" w:color="auto" w:fill="auto"/>
            <w:vAlign w:val="center"/>
          </w:tcPr>
          <w:p w14:paraId="594CBC67" w14:textId="77777777" w:rsidR="006041CA" w:rsidRDefault="001271CC">
            <w:pPr>
              <w:spacing w:after="120" w:line="360" w:lineRule="auto"/>
              <w:rPr>
                <w:color w:val="000000"/>
              </w:rPr>
            </w:pPr>
            <w:r>
              <w:rPr>
                <w:color w:val="000000"/>
              </w:rPr>
              <w:t> </w:t>
            </w:r>
          </w:p>
        </w:tc>
        <w:tc>
          <w:tcPr>
            <w:tcW w:w="1362" w:type="dxa"/>
            <w:tcBorders>
              <w:top w:val="nil"/>
              <w:left w:val="nil"/>
              <w:bottom w:val="single" w:sz="8" w:space="0" w:color="000000"/>
              <w:right w:val="single" w:sz="8" w:space="0" w:color="000000"/>
            </w:tcBorders>
            <w:shd w:val="clear" w:color="auto" w:fill="auto"/>
            <w:vAlign w:val="center"/>
          </w:tcPr>
          <w:p w14:paraId="6FE4A836" w14:textId="77777777" w:rsidR="006041CA" w:rsidRDefault="001271CC">
            <w:pPr>
              <w:spacing w:after="120" w:line="360" w:lineRule="auto"/>
              <w:rPr>
                <w:color w:val="000000"/>
              </w:rPr>
            </w:pPr>
            <w:r>
              <w:rPr>
                <w:color w:val="000000"/>
              </w:rPr>
              <w:t> </w:t>
            </w:r>
          </w:p>
        </w:tc>
        <w:tc>
          <w:tcPr>
            <w:tcW w:w="2848" w:type="dxa"/>
            <w:tcBorders>
              <w:top w:val="nil"/>
              <w:left w:val="nil"/>
              <w:bottom w:val="single" w:sz="8" w:space="0" w:color="000000"/>
              <w:right w:val="single" w:sz="8" w:space="0" w:color="000000"/>
            </w:tcBorders>
            <w:shd w:val="clear" w:color="auto" w:fill="auto"/>
            <w:vAlign w:val="center"/>
          </w:tcPr>
          <w:p w14:paraId="321615EE" w14:textId="77777777" w:rsidR="006041CA" w:rsidRDefault="001271CC">
            <w:pPr>
              <w:spacing w:after="120" w:line="360" w:lineRule="auto"/>
              <w:rPr>
                <w:color w:val="000000"/>
              </w:rPr>
            </w:pPr>
            <w:r>
              <w:rPr>
                <w:color w:val="000000"/>
              </w:rPr>
              <w:t> </w:t>
            </w:r>
          </w:p>
        </w:tc>
      </w:tr>
      <w:tr w:rsidR="006041CA" w14:paraId="29EA5C2A" w14:textId="77777777">
        <w:trPr>
          <w:trHeight w:val="615"/>
        </w:trPr>
        <w:tc>
          <w:tcPr>
            <w:tcW w:w="2710" w:type="dxa"/>
            <w:tcBorders>
              <w:top w:val="nil"/>
              <w:left w:val="single" w:sz="8" w:space="0" w:color="000000"/>
              <w:bottom w:val="single" w:sz="8" w:space="0" w:color="000000"/>
              <w:right w:val="single" w:sz="8" w:space="0" w:color="000000"/>
            </w:tcBorders>
            <w:shd w:val="clear" w:color="auto" w:fill="auto"/>
            <w:vAlign w:val="center"/>
          </w:tcPr>
          <w:p w14:paraId="7A13D90E" w14:textId="77777777" w:rsidR="006041CA" w:rsidRDefault="001271CC">
            <w:pPr>
              <w:spacing w:after="120" w:line="360" w:lineRule="auto"/>
              <w:rPr>
                <w:color w:val="000000"/>
              </w:rPr>
            </w:pPr>
            <w:r>
              <w:rPr>
                <w:color w:val="000000"/>
              </w:rPr>
              <w:t>El Costo Efectividad es el esperado para el ejercicio 2023.</w:t>
            </w:r>
          </w:p>
        </w:tc>
        <w:tc>
          <w:tcPr>
            <w:tcW w:w="3042" w:type="dxa"/>
            <w:tcBorders>
              <w:top w:val="nil"/>
              <w:left w:val="nil"/>
              <w:bottom w:val="single" w:sz="8" w:space="0" w:color="000000"/>
              <w:right w:val="single" w:sz="8" w:space="0" w:color="000000"/>
            </w:tcBorders>
            <w:shd w:val="clear" w:color="auto" w:fill="auto"/>
            <w:vAlign w:val="center"/>
          </w:tcPr>
          <w:p w14:paraId="667AF9D3" w14:textId="77777777" w:rsidR="006041CA" w:rsidRDefault="001271CC">
            <w:pPr>
              <w:spacing w:after="120" w:line="360" w:lineRule="auto"/>
              <w:rPr>
                <w:color w:val="000000"/>
              </w:rPr>
            </w:pPr>
            <w:r>
              <w:rPr>
                <w:color w:val="000000"/>
              </w:rPr>
              <w:t> </w:t>
            </w:r>
          </w:p>
        </w:tc>
        <w:tc>
          <w:tcPr>
            <w:tcW w:w="1362" w:type="dxa"/>
            <w:tcBorders>
              <w:top w:val="nil"/>
              <w:left w:val="nil"/>
              <w:bottom w:val="single" w:sz="8" w:space="0" w:color="000000"/>
              <w:right w:val="single" w:sz="8" w:space="0" w:color="000000"/>
            </w:tcBorders>
            <w:shd w:val="clear" w:color="auto" w:fill="auto"/>
            <w:vAlign w:val="center"/>
          </w:tcPr>
          <w:p w14:paraId="16CF0AB7" w14:textId="77777777" w:rsidR="006041CA" w:rsidRDefault="001271CC">
            <w:pPr>
              <w:spacing w:after="120" w:line="360" w:lineRule="auto"/>
              <w:rPr>
                <w:color w:val="000000"/>
              </w:rPr>
            </w:pPr>
            <w:r>
              <w:rPr>
                <w:color w:val="000000"/>
              </w:rPr>
              <w:t> </w:t>
            </w:r>
          </w:p>
        </w:tc>
        <w:tc>
          <w:tcPr>
            <w:tcW w:w="2848" w:type="dxa"/>
            <w:tcBorders>
              <w:top w:val="nil"/>
              <w:left w:val="nil"/>
              <w:bottom w:val="single" w:sz="8" w:space="0" w:color="000000"/>
              <w:right w:val="single" w:sz="8" w:space="0" w:color="000000"/>
            </w:tcBorders>
            <w:shd w:val="clear" w:color="auto" w:fill="auto"/>
            <w:vAlign w:val="center"/>
          </w:tcPr>
          <w:p w14:paraId="1FDADA03" w14:textId="77777777" w:rsidR="006041CA" w:rsidRDefault="001271CC">
            <w:pPr>
              <w:spacing w:after="120" w:line="360" w:lineRule="auto"/>
              <w:rPr>
                <w:color w:val="000000"/>
              </w:rPr>
            </w:pPr>
            <w:r>
              <w:rPr>
                <w:color w:val="000000"/>
              </w:rPr>
              <w:t> </w:t>
            </w:r>
          </w:p>
        </w:tc>
      </w:tr>
      <w:tr w:rsidR="006041CA" w14:paraId="5B14FAC0" w14:textId="77777777">
        <w:trPr>
          <w:trHeight w:val="315"/>
        </w:trPr>
        <w:tc>
          <w:tcPr>
            <w:tcW w:w="2710" w:type="dxa"/>
            <w:tcBorders>
              <w:top w:val="nil"/>
              <w:left w:val="nil"/>
              <w:bottom w:val="nil"/>
              <w:right w:val="nil"/>
            </w:tcBorders>
            <w:shd w:val="clear" w:color="auto" w:fill="auto"/>
            <w:vAlign w:val="bottom"/>
          </w:tcPr>
          <w:p w14:paraId="1EDE7E24" w14:textId="77777777" w:rsidR="006041CA" w:rsidRDefault="006041CA">
            <w:pPr>
              <w:spacing w:after="120" w:line="360" w:lineRule="auto"/>
              <w:rPr>
                <w:color w:val="000000"/>
              </w:rPr>
            </w:pPr>
          </w:p>
        </w:tc>
        <w:tc>
          <w:tcPr>
            <w:tcW w:w="3042" w:type="dxa"/>
            <w:tcBorders>
              <w:top w:val="nil"/>
              <w:left w:val="nil"/>
              <w:bottom w:val="nil"/>
              <w:right w:val="nil"/>
            </w:tcBorders>
            <w:shd w:val="clear" w:color="auto" w:fill="auto"/>
            <w:vAlign w:val="bottom"/>
          </w:tcPr>
          <w:p w14:paraId="5899FE79" w14:textId="77777777" w:rsidR="006041CA" w:rsidRDefault="006041CA">
            <w:pPr>
              <w:spacing w:after="120" w:line="360" w:lineRule="auto"/>
              <w:rPr>
                <w:sz w:val="20"/>
                <w:szCs w:val="20"/>
              </w:rPr>
            </w:pPr>
          </w:p>
        </w:tc>
        <w:tc>
          <w:tcPr>
            <w:tcW w:w="1362" w:type="dxa"/>
            <w:tcBorders>
              <w:top w:val="nil"/>
              <w:left w:val="nil"/>
              <w:bottom w:val="nil"/>
              <w:right w:val="nil"/>
            </w:tcBorders>
            <w:shd w:val="clear" w:color="auto" w:fill="auto"/>
            <w:vAlign w:val="bottom"/>
          </w:tcPr>
          <w:p w14:paraId="26C4482B" w14:textId="77777777" w:rsidR="006041CA" w:rsidRDefault="006041CA">
            <w:pPr>
              <w:spacing w:after="120" w:line="360" w:lineRule="auto"/>
              <w:rPr>
                <w:sz w:val="20"/>
                <w:szCs w:val="20"/>
              </w:rPr>
            </w:pPr>
          </w:p>
        </w:tc>
        <w:tc>
          <w:tcPr>
            <w:tcW w:w="2848" w:type="dxa"/>
            <w:tcBorders>
              <w:top w:val="nil"/>
              <w:left w:val="nil"/>
              <w:bottom w:val="nil"/>
              <w:right w:val="nil"/>
            </w:tcBorders>
            <w:shd w:val="clear" w:color="auto" w:fill="auto"/>
            <w:vAlign w:val="bottom"/>
          </w:tcPr>
          <w:p w14:paraId="531155CA" w14:textId="77777777" w:rsidR="006041CA" w:rsidRDefault="006041CA">
            <w:pPr>
              <w:spacing w:after="120" w:line="360" w:lineRule="auto"/>
              <w:rPr>
                <w:sz w:val="20"/>
                <w:szCs w:val="20"/>
              </w:rPr>
            </w:pPr>
          </w:p>
        </w:tc>
      </w:tr>
      <w:tr w:rsidR="006041CA" w14:paraId="2FEE9C9C" w14:textId="77777777">
        <w:trPr>
          <w:trHeight w:val="315"/>
        </w:trPr>
        <w:tc>
          <w:tcPr>
            <w:tcW w:w="9962" w:type="dxa"/>
            <w:gridSpan w:val="4"/>
            <w:tcBorders>
              <w:top w:val="single" w:sz="8" w:space="0" w:color="000000"/>
              <w:left w:val="single" w:sz="8" w:space="0" w:color="000000"/>
              <w:bottom w:val="single" w:sz="8" w:space="0" w:color="000000"/>
              <w:right w:val="single" w:sz="8" w:space="0" w:color="000000"/>
            </w:tcBorders>
            <w:shd w:val="clear" w:color="auto" w:fill="6C0C4C"/>
            <w:vAlign w:val="center"/>
          </w:tcPr>
          <w:p w14:paraId="4EE485D2" w14:textId="77777777" w:rsidR="006041CA" w:rsidRDefault="001271CC">
            <w:pPr>
              <w:spacing w:after="120" w:line="360" w:lineRule="auto"/>
              <w:rPr>
                <w:b/>
                <w:color w:val="FFFFFF"/>
              </w:rPr>
            </w:pPr>
            <w:r>
              <w:rPr>
                <w:b/>
                <w:color w:val="FFFFFF"/>
              </w:rPr>
              <w:t>Tema de Evaluación: Seguimiento a los Aspectos Susceptibles de Mejora</w:t>
            </w:r>
          </w:p>
        </w:tc>
      </w:tr>
      <w:tr w:rsidR="006041CA" w14:paraId="004F4D7B" w14:textId="77777777">
        <w:trPr>
          <w:trHeight w:val="315"/>
        </w:trPr>
        <w:tc>
          <w:tcPr>
            <w:tcW w:w="2710" w:type="dxa"/>
            <w:tcBorders>
              <w:top w:val="nil"/>
              <w:left w:val="single" w:sz="8" w:space="0" w:color="000000"/>
              <w:bottom w:val="single" w:sz="8" w:space="0" w:color="000000"/>
              <w:right w:val="single" w:sz="8" w:space="0" w:color="000000"/>
            </w:tcBorders>
            <w:shd w:val="clear" w:color="auto" w:fill="FFC4D4"/>
            <w:vAlign w:val="center"/>
          </w:tcPr>
          <w:p w14:paraId="6FFAE5E9" w14:textId="77777777" w:rsidR="006041CA" w:rsidRDefault="001271CC">
            <w:pPr>
              <w:spacing w:after="120" w:line="360" w:lineRule="auto"/>
              <w:rPr>
                <w:b/>
                <w:color w:val="000000"/>
              </w:rPr>
            </w:pPr>
            <w:r>
              <w:rPr>
                <w:b/>
                <w:color w:val="000000"/>
              </w:rPr>
              <w:t>Fortalezas</w:t>
            </w:r>
          </w:p>
        </w:tc>
        <w:tc>
          <w:tcPr>
            <w:tcW w:w="3042" w:type="dxa"/>
            <w:tcBorders>
              <w:top w:val="nil"/>
              <w:left w:val="nil"/>
              <w:bottom w:val="single" w:sz="8" w:space="0" w:color="000000"/>
              <w:right w:val="single" w:sz="8" w:space="0" w:color="000000"/>
            </w:tcBorders>
            <w:shd w:val="clear" w:color="auto" w:fill="FFC4D4"/>
            <w:vAlign w:val="center"/>
          </w:tcPr>
          <w:p w14:paraId="0753024D" w14:textId="77777777" w:rsidR="006041CA" w:rsidRDefault="001271CC">
            <w:pPr>
              <w:spacing w:after="120" w:line="360" w:lineRule="auto"/>
              <w:rPr>
                <w:b/>
                <w:color w:val="000000"/>
              </w:rPr>
            </w:pPr>
            <w:r>
              <w:rPr>
                <w:b/>
                <w:color w:val="000000"/>
              </w:rPr>
              <w:t>Oportunidades</w:t>
            </w:r>
          </w:p>
        </w:tc>
        <w:tc>
          <w:tcPr>
            <w:tcW w:w="1362" w:type="dxa"/>
            <w:tcBorders>
              <w:top w:val="nil"/>
              <w:left w:val="nil"/>
              <w:bottom w:val="single" w:sz="8" w:space="0" w:color="000000"/>
              <w:right w:val="single" w:sz="8" w:space="0" w:color="000000"/>
            </w:tcBorders>
            <w:shd w:val="clear" w:color="auto" w:fill="FFC4D4"/>
            <w:vAlign w:val="center"/>
          </w:tcPr>
          <w:p w14:paraId="168BF1C2" w14:textId="77777777" w:rsidR="006041CA" w:rsidRDefault="001271CC">
            <w:pPr>
              <w:spacing w:after="120" w:line="360" w:lineRule="auto"/>
              <w:rPr>
                <w:b/>
                <w:color w:val="000000"/>
              </w:rPr>
            </w:pPr>
            <w:r>
              <w:rPr>
                <w:b/>
                <w:color w:val="000000"/>
              </w:rPr>
              <w:t xml:space="preserve">Debilidades </w:t>
            </w:r>
          </w:p>
        </w:tc>
        <w:tc>
          <w:tcPr>
            <w:tcW w:w="2848" w:type="dxa"/>
            <w:tcBorders>
              <w:top w:val="nil"/>
              <w:left w:val="nil"/>
              <w:bottom w:val="single" w:sz="8" w:space="0" w:color="000000"/>
              <w:right w:val="single" w:sz="8" w:space="0" w:color="000000"/>
            </w:tcBorders>
            <w:shd w:val="clear" w:color="auto" w:fill="FFC4D4"/>
            <w:vAlign w:val="center"/>
          </w:tcPr>
          <w:p w14:paraId="11C65248" w14:textId="77777777" w:rsidR="006041CA" w:rsidRDefault="001271CC">
            <w:pPr>
              <w:spacing w:after="120" w:line="360" w:lineRule="auto"/>
              <w:rPr>
                <w:b/>
                <w:color w:val="000000"/>
              </w:rPr>
            </w:pPr>
            <w:r>
              <w:rPr>
                <w:b/>
                <w:color w:val="000000"/>
              </w:rPr>
              <w:t>Amenazas</w:t>
            </w:r>
          </w:p>
        </w:tc>
      </w:tr>
      <w:tr w:rsidR="006041CA" w14:paraId="63B675BB" w14:textId="77777777">
        <w:trPr>
          <w:trHeight w:val="915"/>
        </w:trPr>
        <w:tc>
          <w:tcPr>
            <w:tcW w:w="2710" w:type="dxa"/>
            <w:tcBorders>
              <w:top w:val="nil"/>
              <w:left w:val="single" w:sz="8" w:space="0" w:color="000000"/>
              <w:bottom w:val="single" w:sz="8" w:space="0" w:color="000000"/>
              <w:right w:val="single" w:sz="8" w:space="0" w:color="000000"/>
            </w:tcBorders>
            <w:shd w:val="clear" w:color="auto" w:fill="auto"/>
            <w:vAlign w:val="center"/>
          </w:tcPr>
          <w:p w14:paraId="7D5C196F" w14:textId="77777777" w:rsidR="006041CA" w:rsidRDefault="001271CC">
            <w:pPr>
              <w:spacing w:after="120" w:line="360" w:lineRule="auto"/>
              <w:rPr>
                <w:color w:val="000000"/>
              </w:rPr>
            </w:pPr>
            <w:r>
              <w:rPr>
                <w:color w:val="000000"/>
              </w:rPr>
              <w:t>Se cuenta con Formatos de seguimiento y control de los ASM aceptados en el documento de Posición Institucional.</w:t>
            </w:r>
          </w:p>
        </w:tc>
        <w:tc>
          <w:tcPr>
            <w:tcW w:w="3042" w:type="dxa"/>
            <w:tcBorders>
              <w:top w:val="nil"/>
              <w:left w:val="nil"/>
              <w:bottom w:val="single" w:sz="8" w:space="0" w:color="000000"/>
              <w:right w:val="single" w:sz="8" w:space="0" w:color="000000"/>
            </w:tcBorders>
            <w:shd w:val="clear" w:color="auto" w:fill="auto"/>
            <w:vAlign w:val="center"/>
          </w:tcPr>
          <w:p w14:paraId="5148A88B" w14:textId="77777777" w:rsidR="006041CA" w:rsidRDefault="001271CC">
            <w:pPr>
              <w:spacing w:after="120" w:line="360" w:lineRule="auto"/>
              <w:rPr>
                <w:color w:val="000000"/>
              </w:rPr>
            </w:pPr>
            <w:r>
              <w:rPr>
                <w:color w:val="000000"/>
              </w:rPr>
              <w:t> </w:t>
            </w:r>
          </w:p>
        </w:tc>
        <w:tc>
          <w:tcPr>
            <w:tcW w:w="1362" w:type="dxa"/>
            <w:tcBorders>
              <w:top w:val="nil"/>
              <w:left w:val="nil"/>
              <w:bottom w:val="single" w:sz="8" w:space="0" w:color="000000"/>
              <w:right w:val="single" w:sz="8" w:space="0" w:color="000000"/>
            </w:tcBorders>
            <w:shd w:val="clear" w:color="auto" w:fill="auto"/>
            <w:vAlign w:val="center"/>
          </w:tcPr>
          <w:p w14:paraId="6B76B00A" w14:textId="77777777" w:rsidR="006041CA" w:rsidRDefault="001271CC">
            <w:pPr>
              <w:spacing w:after="120" w:line="360" w:lineRule="auto"/>
              <w:rPr>
                <w:color w:val="000000"/>
              </w:rPr>
            </w:pPr>
            <w:r>
              <w:rPr>
                <w:color w:val="000000"/>
              </w:rPr>
              <w:t> </w:t>
            </w:r>
          </w:p>
        </w:tc>
        <w:tc>
          <w:tcPr>
            <w:tcW w:w="2848" w:type="dxa"/>
            <w:tcBorders>
              <w:top w:val="nil"/>
              <w:left w:val="nil"/>
              <w:bottom w:val="single" w:sz="8" w:space="0" w:color="000000"/>
              <w:right w:val="single" w:sz="8" w:space="0" w:color="000000"/>
            </w:tcBorders>
            <w:shd w:val="clear" w:color="auto" w:fill="auto"/>
            <w:vAlign w:val="center"/>
          </w:tcPr>
          <w:p w14:paraId="434C5DC7" w14:textId="77777777" w:rsidR="006041CA" w:rsidRDefault="001271CC">
            <w:pPr>
              <w:spacing w:after="120" w:line="360" w:lineRule="auto"/>
              <w:rPr>
                <w:color w:val="000000"/>
              </w:rPr>
            </w:pPr>
            <w:r>
              <w:rPr>
                <w:color w:val="000000"/>
              </w:rPr>
              <w:t> </w:t>
            </w:r>
          </w:p>
        </w:tc>
      </w:tr>
      <w:tr w:rsidR="006041CA" w14:paraId="2D9974BC" w14:textId="77777777">
        <w:trPr>
          <w:trHeight w:val="1215"/>
        </w:trPr>
        <w:tc>
          <w:tcPr>
            <w:tcW w:w="2710" w:type="dxa"/>
            <w:tcBorders>
              <w:top w:val="nil"/>
              <w:left w:val="single" w:sz="8" w:space="0" w:color="000000"/>
              <w:bottom w:val="single" w:sz="8" w:space="0" w:color="000000"/>
              <w:right w:val="single" w:sz="8" w:space="0" w:color="000000"/>
            </w:tcBorders>
            <w:shd w:val="clear" w:color="auto" w:fill="auto"/>
            <w:vAlign w:val="center"/>
          </w:tcPr>
          <w:p w14:paraId="69CF69FD" w14:textId="77777777" w:rsidR="006041CA" w:rsidRDefault="001271CC">
            <w:pPr>
              <w:spacing w:after="120" w:line="360" w:lineRule="auto"/>
              <w:rPr>
                <w:color w:val="000000"/>
              </w:rPr>
            </w:pPr>
            <w:r>
              <w:rPr>
                <w:color w:val="000000"/>
              </w:rPr>
              <w:t>En los formatos de seguimiento de atención de los ASM es posible identificar las Actividades a realizar para atender los ASM definidos.</w:t>
            </w:r>
          </w:p>
        </w:tc>
        <w:tc>
          <w:tcPr>
            <w:tcW w:w="3042" w:type="dxa"/>
            <w:tcBorders>
              <w:top w:val="nil"/>
              <w:left w:val="nil"/>
              <w:bottom w:val="single" w:sz="8" w:space="0" w:color="000000"/>
              <w:right w:val="single" w:sz="8" w:space="0" w:color="000000"/>
            </w:tcBorders>
            <w:shd w:val="clear" w:color="auto" w:fill="auto"/>
            <w:vAlign w:val="center"/>
          </w:tcPr>
          <w:p w14:paraId="5521EDB2" w14:textId="77777777" w:rsidR="006041CA" w:rsidRDefault="001271CC">
            <w:pPr>
              <w:spacing w:after="120" w:line="360" w:lineRule="auto"/>
              <w:rPr>
                <w:color w:val="000000"/>
              </w:rPr>
            </w:pPr>
            <w:r>
              <w:rPr>
                <w:color w:val="000000"/>
              </w:rPr>
              <w:t> </w:t>
            </w:r>
          </w:p>
        </w:tc>
        <w:tc>
          <w:tcPr>
            <w:tcW w:w="1362" w:type="dxa"/>
            <w:tcBorders>
              <w:top w:val="nil"/>
              <w:left w:val="nil"/>
              <w:bottom w:val="single" w:sz="8" w:space="0" w:color="000000"/>
              <w:right w:val="single" w:sz="8" w:space="0" w:color="000000"/>
            </w:tcBorders>
            <w:shd w:val="clear" w:color="auto" w:fill="auto"/>
            <w:vAlign w:val="center"/>
          </w:tcPr>
          <w:p w14:paraId="11A896E4" w14:textId="77777777" w:rsidR="006041CA" w:rsidRDefault="001271CC">
            <w:pPr>
              <w:spacing w:after="120" w:line="360" w:lineRule="auto"/>
              <w:rPr>
                <w:color w:val="000000"/>
              </w:rPr>
            </w:pPr>
            <w:r>
              <w:rPr>
                <w:color w:val="000000"/>
              </w:rPr>
              <w:t> </w:t>
            </w:r>
          </w:p>
        </w:tc>
        <w:tc>
          <w:tcPr>
            <w:tcW w:w="2848" w:type="dxa"/>
            <w:tcBorders>
              <w:top w:val="nil"/>
              <w:left w:val="nil"/>
              <w:bottom w:val="single" w:sz="8" w:space="0" w:color="000000"/>
              <w:right w:val="single" w:sz="8" w:space="0" w:color="000000"/>
            </w:tcBorders>
            <w:shd w:val="clear" w:color="auto" w:fill="auto"/>
            <w:vAlign w:val="center"/>
          </w:tcPr>
          <w:p w14:paraId="0BB15869" w14:textId="77777777" w:rsidR="006041CA" w:rsidRDefault="001271CC">
            <w:pPr>
              <w:spacing w:after="120" w:line="360" w:lineRule="auto"/>
              <w:rPr>
                <w:color w:val="000000"/>
              </w:rPr>
            </w:pPr>
            <w:r>
              <w:rPr>
                <w:color w:val="000000"/>
              </w:rPr>
              <w:t> </w:t>
            </w:r>
          </w:p>
        </w:tc>
      </w:tr>
    </w:tbl>
    <w:p w14:paraId="732019CC" w14:textId="77777777" w:rsidR="006041CA" w:rsidRDefault="006041CA">
      <w:pPr>
        <w:spacing w:after="120" w:line="360" w:lineRule="auto"/>
        <w:rPr>
          <w:b/>
        </w:rPr>
      </w:pPr>
    </w:p>
    <w:p w14:paraId="318AAE95" w14:textId="77777777" w:rsidR="006041CA" w:rsidRDefault="006041CA">
      <w:pPr>
        <w:spacing w:after="120" w:line="360" w:lineRule="auto"/>
        <w:rPr>
          <w:b/>
        </w:rPr>
      </w:pPr>
    </w:p>
    <w:p w14:paraId="30584D31" w14:textId="77777777" w:rsidR="006041CA" w:rsidRDefault="006041CA">
      <w:pPr>
        <w:spacing w:after="120" w:line="360" w:lineRule="auto"/>
      </w:pPr>
    </w:p>
    <w:p w14:paraId="46961A15" w14:textId="77777777" w:rsidR="006041CA" w:rsidRDefault="006041CA">
      <w:pPr>
        <w:spacing w:after="120" w:line="360" w:lineRule="auto"/>
      </w:pPr>
    </w:p>
    <w:p w14:paraId="077363D6" w14:textId="77777777" w:rsidR="006041CA" w:rsidRDefault="006041CA">
      <w:pPr>
        <w:spacing w:after="120" w:line="360" w:lineRule="auto"/>
      </w:pPr>
    </w:p>
    <w:p w14:paraId="70C9B1CD" w14:textId="77777777" w:rsidR="006041CA" w:rsidRDefault="006041CA">
      <w:pPr>
        <w:spacing w:after="120" w:line="360" w:lineRule="auto"/>
      </w:pPr>
    </w:p>
    <w:p w14:paraId="04B6F3FF" w14:textId="77777777" w:rsidR="006041CA" w:rsidRDefault="006041CA">
      <w:pPr>
        <w:spacing w:after="120" w:line="360" w:lineRule="auto"/>
      </w:pPr>
    </w:p>
    <w:p w14:paraId="79BB2E1D" w14:textId="77777777" w:rsidR="006041CA" w:rsidRDefault="001271CC">
      <w:pPr>
        <w:spacing w:after="120" w:line="360" w:lineRule="auto"/>
      </w:pPr>
      <w:r>
        <w:br w:type="page"/>
      </w:r>
    </w:p>
    <w:p w14:paraId="1CE4FC62"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17B2FA2B"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483410CC"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10753F66" w14:textId="77777777" w:rsidR="006041CA" w:rsidRDefault="006041CA">
      <w:pPr>
        <w:pStyle w:val="Ttulo1"/>
        <w:spacing w:before="0" w:after="120" w:line="360" w:lineRule="auto"/>
        <w:rPr>
          <w:rFonts w:ascii="Calibri" w:eastAsia="Calibri" w:hAnsi="Calibri" w:cs="Calibri"/>
          <w:b/>
          <w:color w:val="000000"/>
          <w:sz w:val="52"/>
          <w:szCs w:val="52"/>
        </w:rPr>
      </w:pPr>
    </w:p>
    <w:p w14:paraId="7D0DE4FF"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19170CA4" w14:textId="77777777" w:rsidR="006041CA" w:rsidRDefault="001271CC">
      <w:pPr>
        <w:pStyle w:val="Ttulo1"/>
        <w:spacing w:before="0" w:after="120" w:line="360" w:lineRule="auto"/>
        <w:jc w:val="center"/>
        <w:rPr>
          <w:rFonts w:ascii="Calibri" w:eastAsia="Calibri" w:hAnsi="Calibri" w:cs="Calibri"/>
          <w:b/>
          <w:color w:val="660033"/>
          <w:sz w:val="52"/>
          <w:szCs w:val="52"/>
        </w:rPr>
      </w:pPr>
      <w:bookmarkStart w:id="8" w:name="_heading=h.1t3h5sf" w:colFirst="0" w:colLast="0"/>
      <w:bookmarkEnd w:id="8"/>
      <w:r>
        <w:rPr>
          <w:rFonts w:ascii="Calibri" w:eastAsia="Calibri" w:hAnsi="Calibri" w:cs="Calibri"/>
          <w:b/>
          <w:color w:val="660033"/>
          <w:sz w:val="52"/>
          <w:szCs w:val="52"/>
        </w:rPr>
        <w:t>Anexo 2. Matriz FODA</w:t>
      </w:r>
    </w:p>
    <w:p w14:paraId="244CA8C0" w14:textId="77777777" w:rsidR="006041CA" w:rsidRDefault="001271CC">
      <w:pPr>
        <w:spacing w:after="120" w:line="360" w:lineRule="auto"/>
        <w:rPr>
          <w:b/>
          <w:color w:val="000000"/>
          <w:sz w:val="52"/>
          <w:szCs w:val="52"/>
        </w:rPr>
      </w:pPr>
      <w:r>
        <w:br w:type="page"/>
      </w:r>
    </w:p>
    <w:tbl>
      <w:tblPr>
        <w:tblStyle w:val="a2"/>
        <w:tblW w:w="9962" w:type="dxa"/>
        <w:tblInd w:w="-10" w:type="dxa"/>
        <w:tblLayout w:type="fixed"/>
        <w:tblLook w:val="0400" w:firstRow="0" w:lastRow="0" w:firstColumn="0" w:lastColumn="0" w:noHBand="0" w:noVBand="1"/>
      </w:tblPr>
      <w:tblGrid>
        <w:gridCol w:w="3039"/>
        <w:gridCol w:w="3913"/>
        <w:gridCol w:w="3010"/>
      </w:tblGrid>
      <w:tr w:rsidR="006041CA" w14:paraId="14BB588F" w14:textId="77777777">
        <w:trPr>
          <w:trHeight w:val="315"/>
        </w:trPr>
        <w:tc>
          <w:tcPr>
            <w:tcW w:w="9962"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2BF297EE" w14:textId="77777777" w:rsidR="006041CA" w:rsidRDefault="001271CC">
            <w:pPr>
              <w:spacing w:after="120" w:line="360" w:lineRule="auto"/>
              <w:rPr>
                <w:b/>
                <w:color w:val="000000"/>
              </w:rPr>
            </w:pPr>
            <w:r>
              <w:rPr>
                <w:b/>
                <w:color w:val="000000"/>
              </w:rPr>
              <w:t>Matriz FODA: Resultados</w:t>
            </w:r>
          </w:p>
        </w:tc>
      </w:tr>
      <w:tr w:rsidR="006041CA" w14:paraId="643C4038" w14:textId="77777777">
        <w:trPr>
          <w:trHeight w:val="300"/>
        </w:trPr>
        <w:tc>
          <w:tcPr>
            <w:tcW w:w="3039" w:type="dxa"/>
            <w:tcBorders>
              <w:top w:val="nil"/>
              <w:left w:val="single" w:sz="8" w:space="0" w:color="000000"/>
              <w:bottom w:val="nil"/>
              <w:right w:val="single" w:sz="8" w:space="0" w:color="000000"/>
            </w:tcBorders>
            <w:shd w:val="clear" w:color="auto" w:fill="6C0C4C"/>
            <w:vAlign w:val="center"/>
          </w:tcPr>
          <w:p w14:paraId="72412A48" w14:textId="77777777" w:rsidR="006041CA" w:rsidRDefault="001271CC">
            <w:pPr>
              <w:spacing w:after="120" w:line="360" w:lineRule="auto"/>
              <w:jc w:val="right"/>
              <w:rPr>
                <w:b/>
                <w:color w:val="FFFFFF"/>
              </w:rPr>
            </w:pPr>
            <w:r>
              <w:rPr>
                <w:b/>
                <w:color w:val="FFFFFF"/>
              </w:rPr>
              <w:t>Factores internos</w:t>
            </w:r>
          </w:p>
        </w:tc>
        <w:tc>
          <w:tcPr>
            <w:tcW w:w="3913" w:type="dxa"/>
            <w:vMerge w:val="restart"/>
            <w:tcBorders>
              <w:top w:val="nil"/>
              <w:left w:val="single" w:sz="8" w:space="0" w:color="000000"/>
              <w:bottom w:val="single" w:sz="8" w:space="0" w:color="000000"/>
              <w:right w:val="single" w:sz="8" w:space="0" w:color="000000"/>
            </w:tcBorders>
            <w:shd w:val="clear" w:color="auto" w:fill="6C0C4C"/>
            <w:vAlign w:val="center"/>
          </w:tcPr>
          <w:p w14:paraId="48FFFF2C" w14:textId="77777777" w:rsidR="006041CA" w:rsidRDefault="001271CC">
            <w:pPr>
              <w:spacing w:after="120" w:line="360" w:lineRule="auto"/>
              <w:jc w:val="center"/>
              <w:rPr>
                <w:b/>
                <w:color w:val="FFFFFF"/>
              </w:rPr>
            </w:pPr>
            <w:r>
              <w:rPr>
                <w:b/>
                <w:color w:val="FFFFFF"/>
              </w:rPr>
              <w:t>Fortalezas</w:t>
            </w:r>
          </w:p>
        </w:tc>
        <w:tc>
          <w:tcPr>
            <w:tcW w:w="3010" w:type="dxa"/>
            <w:vMerge w:val="restart"/>
            <w:tcBorders>
              <w:top w:val="nil"/>
              <w:left w:val="single" w:sz="8" w:space="0" w:color="000000"/>
              <w:bottom w:val="single" w:sz="8" w:space="0" w:color="000000"/>
              <w:right w:val="single" w:sz="8" w:space="0" w:color="000000"/>
            </w:tcBorders>
            <w:shd w:val="clear" w:color="auto" w:fill="6C0C4C"/>
            <w:vAlign w:val="center"/>
          </w:tcPr>
          <w:p w14:paraId="1FED0DEF" w14:textId="77777777" w:rsidR="006041CA" w:rsidRDefault="001271CC">
            <w:pPr>
              <w:spacing w:after="120" w:line="360" w:lineRule="auto"/>
              <w:jc w:val="center"/>
              <w:rPr>
                <w:b/>
                <w:color w:val="FFFFFF"/>
              </w:rPr>
            </w:pPr>
            <w:r>
              <w:rPr>
                <w:b/>
                <w:color w:val="FFFFFF"/>
              </w:rPr>
              <w:t>Debilidades</w:t>
            </w:r>
          </w:p>
        </w:tc>
      </w:tr>
      <w:tr w:rsidR="006041CA" w14:paraId="3CCD24F4" w14:textId="77777777">
        <w:trPr>
          <w:trHeight w:val="300"/>
        </w:trPr>
        <w:tc>
          <w:tcPr>
            <w:tcW w:w="3039" w:type="dxa"/>
            <w:tcBorders>
              <w:top w:val="nil"/>
              <w:left w:val="single" w:sz="8" w:space="0" w:color="000000"/>
              <w:bottom w:val="nil"/>
              <w:right w:val="single" w:sz="8" w:space="0" w:color="000000"/>
            </w:tcBorders>
            <w:shd w:val="clear" w:color="auto" w:fill="6C0C4C"/>
            <w:vAlign w:val="center"/>
          </w:tcPr>
          <w:p w14:paraId="76789F99" w14:textId="77777777" w:rsidR="006041CA" w:rsidRDefault="001271CC">
            <w:pPr>
              <w:spacing w:after="120" w:line="360" w:lineRule="auto"/>
              <w:rPr>
                <w:b/>
                <w:color w:val="FFFFFF"/>
              </w:rPr>
            </w:pPr>
            <w:r>
              <w:rPr>
                <w:b/>
                <w:color w:val="FFFFFF"/>
              </w:rPr>
              <w:t> </w:t>
            </w:r>
          </w:p>
        </w:tc>
        <w:tc>
          <w:tcPr>
            <w:tcW w:w="3913" w:type="dxa"/>
            <w:vMerge/>
            <w:tcBorders>
              <w:top w:val="nil"/>
              <w:left w:val="single" w:sz="8" w:space="0" w:color="000000"/>
              <w:bottom w:val="single" w:sz="8" w:space="0" w:color="000000"/>
              <w:right w:val="single" w:sz="8" w:space="0" w:color="000000"/>
            </w:tcBorders>
            <w:shd w:val="clear" w:color="auto" w:fill="6C0C4C"/>
            <w:vAlign w:val="center"/>
          </w:tcPr>
          <w:p w14:paraId="0C8FA912" w14:textId="77777777" w:rsidR="006041CA" w:rsidRDefault="006041CA">
            <w:pPr>
              <w:widowControl w:val="0"/>
              <w:pBdr>
                <w:top w:val="nil"/>
                <w:left w:val="nil"/>
                <w:bottom w:val="nil"/>
                <w:right w:val="nil"/>
                <w:between w:val="nil"/>
              </w:pBdr>
              <w:spacing w:after="0" w:line="276" w:lineRule="auto"/>
              <w:rPr>
                <w:b/>
                <w:color w:val="FFFFFF"/>
              </w:rPr>
            </w:pPr>
          </w:p>
        </w:tc>
        <w:tc>
          <w:tcPr>
            <w:tcW w:w="3010" w:type="dxa"/>
            <w:vMerge/>
            <w:tcBorders>
              <w:top w:val="nil"/>
              <w:left w:val="single" w:sz="8" w:space="0" w:color="000000"/>
              <w:bottom w:val="single" w:sz="8" w:space="0" w:color="000000"/>
              <w:right w:val="single" w:sz="8" w:space="0" w:color="000000"/>
            </w:tcBorders>
            <w:shd w:val="clear" w:color="auto" w:fill="6C0C4C"/>
            <w:vAlign w:val="center"/>
          </w:tcPr>
          <w:p w14:paraId="7E55CE02" w14:textId="77777777" w:rsidR="006041CA" w:rsidRDefault="006041CA">
            <w:pPr>
              <w:widowControl w:val="0"/>
              <w:pBdr>
                <w:top w:val="nil"/>
                <w:left w:val="nil"/>
                <w:bottom w:val="nil"/>
                <w:right w:val="nil"/>
                <w:between w:val="nil"/>
              </w:pBdr>
              <w:spacing w:after="0" w:line="276" w:lineRule="auto"/>
              <w:rPr>
                <w:b/>
                <w:color w:val="FFFFFF"/>
              </w:rPr>
            </w:pPr>
          </w:p>
        </w:tc>
      </w:tr>
      <w:tr w:rsidR="006041CA" w14:paraId="2B2AEC5F" w14:textId="77777777">
        <w:trPr>
          <w:trHeight w:val="315"/>
        </w:trPr>
        <w:tc>
          <w:tcPr>
            <w:tcW w:w="3039" w:type="dxa"/>
            <w:tcBorders>
              <w:top w:val="nil"/>
              <w:left w:val="single" w:sz="8" w:space="0" w:color="000000"/>
              <w:bottom w:val="nil"/>
              <w:right w:val="single" w:sz="8" w:space="0" w:color="000000"/>
            </w:tcBorders>
            <w:shd w:val="clear" w:color="auto" w:fill="6C0C4C"/>
            <w:vAlign w:val="center"/>
          </w:tcPr>
          <w:p w14:paraId="250F72CB" w14:textId="77777777" w:rsidR="006041CA" w:rsidRDefault="001271CC">
            <w:pPr>
              <w:spacing w:after="120" w:line="360" w:lineRule="auto"/>
              <w:rPr>
                <w:b/>
                <w:color w:val="FFFFFF"/>
              </w:rPr>
            </w:pPr>
            <w:r>
              <w:rPr>
                <w:b/>
                <w:color w:val="FFFFFF"/>
              </w:rPr>
              <w:t> </w:t>
            </w:r>
          </w:p>
        </w:tc>
        <w:tc>
          <w:tcPr>
            <w:tcW w:w="3913" w:type="dxa"/>
            <w:vMerge/>
            <w:tcBorders>
              <w:top w:val="nil"/>
              <w:left w:val="single" w:sz="8" w:space="0" w:color="000000"/>
              <w:bottom w:val="single" w:sz="8" w:space="0" w:color="000000"/>
              <w:right w:val="single" w:sz="8" w:space="0" w:color="000000"/>
            </w:tcBorders>
            <w:shd w:val="clear" w:color="auto" w:fill="6C0C4C"/>
            <w:vAlign w:val="center"/>
          </w:tcPr>
          <w:p w14:paraId="5CB39A87" w14:textId="77777777" w:rsidR="006041CA" w:rsidRDefault="006041CA">
            <w:pPr>
              <w:widowControl w:val="0"/>
              <w:pBdr>
                <w:top w:val="nil"/>
                <w:left w:val="nil"/>
                <w:bottom w:val="nil"/>
                <w:right w:val="nil"/>
                <w:between w:val="nil"/>
              </w:pBdr>
              <w:spacing w:after="0" w:line="276" w:lineRule="auto"/>
              <w:rPr>
                <w:b/>
                <w:color w:val="FFFFFF"/>
              </w:rPr>
            </w:pPr>
          </w:p>
        </w:tc>
        <w:tc>
          <w:tcPr>
            <w:tcW w:w="3010" w:type="dxa"/>
            <w:vMerge/>
            <w:tcBorders>
              <w:top w:val="nil"/>
              <w:left w:val="single" w:sz="8" w:space="0" w:color="000000"/>
              <w:bottom w:val="single" w:sz="8" w:space="0" w:color="000000"/>
              <w:right w:val="single" w:sz="8" w:space="0" w:color="000000"/>
            </w:tcBorders>
            <w:shd w:val="clear" w:color="auto" w:fill="6C0C4C"/>
            <w:vAlign w:val="center"/>
          </w:tcPr>
          <w:p w14:paraId="713C2380" w14:textId="77777777" w:rsidR="006041CA" w:rsidRDefault="006041CA">
            <w:pPr>
              <w:widowControl w:val="0"/>
              <w:pBdr>
                <w:top w:val="nil"/>
                <w:left w:val="nil"/>
                <w:bottom w:val="nil"/>
                <w:right w:val="nil"/>
                <w:between w:val="nil"/>
              </w:pBdr>
              <w:spacing w:after="0" w:line="276" w:lineRule="auto"/>
              <w:rPr>
                <w:b/>
                <w:color w:val="FFFFFF"/>
              </w:rPr>
            </w:pPr>
          </w:p>
        </w:tc>
      </w:tr>
      <w:tr w:rsidR="006041CA" w14:paraId="5F30227D" w14:textId="77777777">
        <w:trPr>
          <w:trHeight w:val="915"/>
        </w:trPr>
        <w:tc>
          <w:tcPr>
            <w:tcW w:w="3039" w:type="dxa"/>
            <w:tcBorders>
              <w:top w:val="nil"/>
              <w:left w:val="single" w:sz="8" w:space="0" w:color="000000"/>
              <w:bottom w:val="nil"/>
              <w:right w:val="single" w:sz="8" w:space="0" w:color="000000"/>
            </w:tcBorders>
            <w:shd w:val="clear" w:color="auto" w:fill="6C0C4C"/>
            <w:vAlign w:val="center"/>
          </w:tcPr>
          <w:p w14:paraId="28BAD08E" w14:textId="77777777" w:rsidR="006041CA" w:rsidRDefault="001271CC">
            <w:pPr>
              <w:spacing w:after="120" w:line="360" w:lineRule="auto"/>
              <w:rPr>
                <w:b/>
                <w:color w:val="FFFFFF"/>
              </w:rPr>
            </w:pPr>
            <w:r>
              <w:rPr>
                <w:b/>
                <w:color w:val="FFFFFF"/>
              </w:rPr>
              <w:t> </w:t>
            </w:r>
          </w:p>
        </w:tc>
        <w:tc>
          <w:tcPr>
            <w:tcW w:w="3913" w:type="dxa"/>
            <w:tcBorders>
              <w:top w:val="nil"/>
              <w:left w:val="nil"/>
              <w:bottom w:val="single" w:sz="8" w:space="0" w:color="000000"/>
              <w:right w:val="single" w:sz="8" w:space="0" w:color="000000"/>
            </w:tcBorders>
            <w:shd w:val="clear" w:color="auto" w:fill="auto"/>
            <w:vAlign w:val="center"/>
          </w:tcPr>
          <w:p w14:paraId="21DF9B79" w14:textId="77777777" w:rsidR="006041CA" w:rsidRDefault="001271CC">
            <w:pPr>
              <w:spacing w:after="120" w:line="360" w:lineRule="auto"/>
              <w:rPr>
                <w:color w:val="000000"/>
              </w:rPr>
            </w:pPr>
            <w:r>
              <w:rPr>
                <w:color w:val="000000"/>
              </w:rPr>
              <w:t>1. Los indicadores estratégicos de la MIR del Programa AE01 Educación Básica cumplen con el criterio de Relevante.</w:t>
            </w:r>
          </w:p>
        </w:tc>
        <w:tc>
          <w:tcPr>
            <w:tcW w:w="3010" w:type="dxa"/>
            <w:vMerge w:val="restart"/>
            <w:tcBorders>
              <w:top w:val="nil"/>
              <w:left w:val="single" w:sz="8" w:space="0" w:color="000000"/>
              <w:bottom w:val="single" w:sz="8" w:space="0" w:color="000000"/>
              <w:right w:val="single" w:sz="8" w:space="0" w:color="000000"/>
            </w:tcBorders>
            <w:shd w:val="clear" w:color="auto" w:fill="auto"/>
            <w:vAlign w:val="center"/>
          </w:tcPr>
          <w:p w14:paraId="1A5C3A2A" w14:textId="77777777" w:rsidR="006041CA" w:rsidRDefault="001271CC">
            <w:pPr>
              <w:spacing w:after="120" w:line="360" w:lineRule="auto"/>
              <w:jc w:val="center"/>
              <w:rPr>
                <w:color w:val="000000"/>
              </w:rPr>
            </w:pPr>
            <w:r>
              <w:rPr>
                <w:color w:val="000000"/>
              </w:rPr>
              <w:t>No se identifican Debilidades</w:t>
            </w:r>
          </w:p>
        </w:tc>
      </w:tr>
      <w:tr w:rsidR="006041CA" w14:paraId="65B4FEA2" w14:textId="77777777">
        <w:trPr>
          <w:trHeight w:val="1215"/>
        </w:trPr>
        <w:tc>
          <w:tcPr>
            <w:tcW w:w="3039" w:type="dxa"/>
            <w:tcBorders>
              <w:top w:val="nil"/>
              <w:left w:val="single" w:sz="8" w:space="0" w:color="000000"/>
              <w:bottom w:val="single" w:sz="8" w:space="0" w:color="000000"/>
              <w:right w:val="single" w:sz="8" w:space="0" w:color="000000"/>
            </w:tcBorders>
            <w:shd w:val="clear" w:color="auto" w:fill="6C0C4C"/>
            <w:vAlign w:val="center"/>
          </w:tcPr>
          <w:p w14:paraId="54A80F51" w14:textId="77777777" w:rsidR="006041CA" w:rsidRDefault="001271CC">
            <w:pPr>
              <w:spacing w:after="120" w:line="360" w:lineRule="auto"/>
              <w:rPr>
                <w:b/>
                <w:color w:val="FFFFFF"/>
              </w:rPr>
            </w:pPr>
            <w:r>
              <w:rPr>
                <w:b/>
                <w:color w:val="FFFFFF"/>
              </w:rPr>
              <w:t>Factores externos</w:t>
            </w:r>
          </w:p>
        </w:tc>
        <w:tc>
          <w:tcPr>
            <w:tcW w:w="3913" w:type="dxa"/>
            <w:tcBorders>
              <w:top w:val="nil"/>
              <w:left w:val="nil"/>
              <w:bottom w:val="single" w:sz="8" w:space="0" w:color="000000"/>
              <w:right w:val="single" w:sz="8" w:space="0" w:color="000000"/>
            </w:tcBorders>
            <w:shd w:val="clear" w:color="auto" w:fill="auto"/>
            <w:vAlign w:val="center"/>
          </w:tcPr>
          <w:p w14:paraId="4E608492" w14:textId="77777777" w:rsidR="006041CA" w:rsidRDefault="001271CC">
            <w:pPr>
              <w:spacing w:after="120" w:line="360" w:lineRule="auto"/>
              <w:rPr>
                <w:color w:val="000000"/>
              </w:rPr>
            </w:pPr>
            <w:r>
              <w:rPr>
                <w:color w:val="000000"/>
              </w:rPr>
              <w:t>2. Se define correctamente la población objetivo del Programa presupuestario, la cual es congruente con la señalada en la normatividad Federal.</w:t>
            </w:r>
          </w:p>
        </w:tc>
        <w:tc>
          <w:tcPr>
            <w:tcW w:w="3010" w:type="dxa"/>
            <w:vMerge/>
            <w:tcBorders>
              <w:top w:val="nil"/>
              <w:left w:val="single" w:sz="8" w:space="0" w:color="000000"/>
              <w:bottom w:val="single" w:sz="8" w:space="0" w:color="000000"/>
              <w:right w:val="single" w:sz="8" w:space="0" w:color="000000"/>
            </w:tcBorders>
            <w:shd w:val="clear" w:color="auto" w:fill="auto"/>
            <w:vAlign w:val="center"/>
          </w:tcPr>
          <w:p w14:paraId="67CAAF53" w14:textId="77777777" w:rsidR="006041CA" w:rsidRDefault="006041CA">
            <w:pPr>
              <w:widowControl w:val="0"/>
              <w:pBdr>
                <w:top w:val="nil"/>
                <w:left w:val="nil"/>
                <w:bottom w:val="nil"/>
                <w:right w:val="nil"/>
                <w:between w:val="nil"/>
              </w:pBdr>
              <w:spacing w:after="0" w:line="276" w:lineRule="auto"/>
              <w:rPr>
                <w:color w:val="000000"/>
              </w:rPr>
            </w:pPr>
          </w:p>
        </w:tc>
      </w:tr>
      <w:tr w:rsidR="006041CA" w14:paraId="7CC6688F" w14:textId="77777777">
        <w:trPr>
          <w:trHeight w:val="615"/>
        </w:trPr>
        <w:tc>
          <w:tcPr>
            <w:tcW w:w="3039" w:type="dxa"/>
            <w:tcBorders>
              <w:top w:val="nil"/>
              <w:left w:val="single" w:sz="8" w:space="0" w:color="000000"/>
              <w:bottom w:val="single" w:sz="8" w:space="0" w:color="000000"/>
              <w:right w:val="single" w:sz="8" w:space="0" w:color="000000"/>
            </w:tcBorders>
            <w:shd w:val="clear" w:color="auto" w:fill="6C0C4C"/>
            <w:vAlign w:val="center"/>
          </w:tcPr>
          <w:p w14:paraId="6B9973E0" w14:textId="77777777" w:rsidR="006041CA" w:rsidRDefault="001271CC">
            <w:pPr>
              <w:spacing w:after="120" w:line="360" w:lineRule="auto"/>
              <w:jc w:val="center"/>
              <w:rPr>
                <w:b/>
                <w:color w:val="FFFFFF"/>
              </w:rPr>
            </w:pPr>
            <w:r>
              <w:rPr>
                <w:b/>
                <w:color w:val="FFFFFF"/>
              </w:rPr>
              <w:t>Oportunidades</w:t>
            </w:r>
          </w:p>
        </w:tc>
        <w:tc>
          <w:tcPr>
            <w:tcW w:w="3913" w:type="dxa"/>
            <w:vMerge w:val="restart"/>
            <w:tcBorders>
              <w:top w:val="nil"/>
              <w:left w:val="single" w:sz="8" w:space="0" w:color="000000"/>
              <w:bottom w:val="nil"/>
              <w:right w:val="single" w:sz="8" w:space="0" w:color="000000"/>
            </w:tcBorders>
            <w:shd w:val="clear" w:color="auto" w:fill="FFC4D4"/>
            <w:vAlign w:val="center"/>
          </w:tcPr>
          <w:p w14:paraId="78FF4F35" w14:textId="77777777" w:rsidR="006041CA" w:rsidRDefault="001271CC">
            <w:pPr>
              <w:spacing w:after="120" w:line="360" w:lineRule="auto"/>
              <w:jc w:val="center"/>
              <w:rPr>
                <w:color w:val="000000"/>
              </w:rPr>
            </w:pPr>
            <w:r>
              <w:rPr>
                <w:color w:val="000000"/>
              </w:rPr>
              <w:t>FO: No aplican recomendaciones; sin embargo, la institución sí debe identificar estrategias en donde, mediante las fortalezas internas, se aproveche la ventaja de las oportunidades externas.</w:t>
            </w:r>
          </w:p>
        </w:tc>
        <w:tc>
          <w:tcPr>
            <w:tcW w:w="3010" w:type="dxa"/>
            <w:tcBorders>
              <w:top w:val="nil"/>
              <w:left w:val="nil"/>
              <w:bottom w:val="single" w:sz="8" w:space="0" w:color="000000"/>
              <w:right w:val="single" w:sz="8" w:space="0" w:color="000000"/>
            </w:tcBorders>
            <w:shd w:val="clear" w:color="auto" w:fill="6C0C4C"/>
            <w:vAlign w:val="center"/>
          </w:tcPr>
          <w:p w14:paraId="758EA7C0" w14:textId="77777777" w:rsidR="006041CA" w:rsidRDefault="001271CC">
            <w:pPr>
              <w:spacing w:after="120" w:line="360" w:lineRule="auto"/>
              <w:jc w:val="center"/>
              <w:rPr>
                <w:b/>
                <w:color w:val="FFFFFF"/>
              </w:rPr>
            </w:pPr>
            <w:r>
              <w:rPr>
                <w:b/>
                <w:color w:val="FFFFFF"/>
              </w:rPr>
              <w:t>Recomendaciones DO:</w:t>
            </w:r>
          </w:p>
        </w:tc>
      </w:tr>
      <w:tr w:rsidR="006041CA" w14:paraId="597D32AA" w14:textId="77777777">
        <w:trPr>
          <w:trHeight w:val="1215"/>
        </w:trPr>
        <w:tc>
          <w:tcPr>
            <w:tcW w:w="3039" w:type="dxa"/>
            <w:tcBorders>
              <w:top w:val="nil"/>
              <w:left w:val="single" w:sz="8" w:space="0" w:color="000000"/>
              <w:bottom w:val="single" w:sz="8" w:space="0" w:color="000000"/>
              <w:right w:val="single" w:sz="8" w:space="0" w:color="000000"/>
            </w:tcBorders>
            <w:shd w:val="clear" w:color="auto" w:fill="auto"/>
            <w:vAlign w:val="center"/>
          </w:tcPr>
          <w:p w14:paraId="62A620DF" w14:textId="77777777" w:rsidR="006041CA" w:rsidRDefault="001271CC">
            <w:pPr>
              <w:spacing w:after="120" w:line="360" w:lineRule="auto"/>
              <w:rPr>
                <w:color w:val="000000"/>
              </w:rPr>
            </w:pPr>
            <w:r>
              <w:rPr>
                <w:color w:val="000000"/>
              </w:rPr>
              <w:t>1. Los resultados del Programa presupuestario son congruentes y los esperados de acuerdo a la normatividad Federal del Fondo.</w:t>
            </w:r>
          </w:p>
        </w:tc>
        <w:tc>
          <w:tcPr>
            <w:tcW w:w="3913" w:type="dxa"/>
            <w:vMerge/>
            <w:tcBorders>
              <w:top w:val="nil"/>
              <w:left w:val="single" w:sz="8" w:space="0" w:color="000000"/>
              <w:bottom w:val="nil"/>
              <w:right w:val="single" w:sz="8" w:space="0" w:color="000000"/>
            </w:tcBorders>
            <w:shd w:val="clear" w:color="auto" w:fill="FFC4D4"/>
            <w:vAlign w:val="center"/>
          </w:tcPr>
          <w:p w14:paraId="1A47ECA5" w14:textId="77777777" w:rsidR="006041CA" w:rsidRDefault="006041CA">
            <w:pPr>
              <w:widowControl w:val="0"/>
              <w:pBdr>
                <w:top w:val="nil"/>
                <w:left w:val="nil"/>
                <w:bottom w:val="nil"/>
                <w:right w:val="nil"/>
                <w:between w:val="nil"/>
              </w:pBdr>
              <w:spacing w:after="0" w:line="276" w:lineRule="auto"/>
              <w:rPr>
                <w:color w:val="000000"/>
              </w:rPr>
            </w:pPr>
          </w:p>
        </w:tc>
        <w:tc>
          <w:tcPr>
            <w:tcW w:w="3010" w:type="dxa"/>
            <w:vMerge w:val="restart"/>
            <w:tcBorders>
              <w:top w:val="nil"/>
              <w:left w:val="single" w:sz="8" w:space="0" w:color="000000"/>
              <w:bottom w:val="nil"/>
              <w:right w:val="single" w:sz="8" w:space="0" w:color="000000"/>
            </w:tcBorders>
            <w:shd w:val="clear" w:color="auto" w:fill="FFFFFF"/>
            <w:vAlign w:val="center"/>
          </w:tcPr>
          <w:p w14:paraId="544E436B" w14:textId="77777777" w:rsidR="006041CA" w:rsidRDefault="001271CC">
            <w:pPr>
              <w:spacing w:after="120" w:line="360" w:lineRule="auto"/>
              <w:jc w:val="center"/>
              <w:rPr>
                <w:color w:val="000000"/>
              </w:rPr>
            </w:pPr>
            <w:r>
              <w:rPr>
                <w:color w:val="000000"/>
              </w:rPr>
              <w:t>No se especifican recomendaciones en este cruce de análisis.</w:t>
            </w:r>
          </w:p>
        </w:tc>
      </w:tr>
      <w:tr w:rsidR="006041CA" w14:paraId="44799199" w14:textId="77777777">
        <w:trPr>
          <w:trHeight w:val="1515"/>
        </w:trPr>
        <w:tc>
          <w:tcPr>
            <w:tcW w:w="3039" w:type="dxa"/>
            <w:tcBorders>
              <w:top w:val="nil"/>
              <w:left w:val="single" w:sz="8" w:space="0" w:color="000000"/>
              <w:bottom w:val="single" w:sz="8" w:space="0" w:color="000000"/>
              <w:right w:val="single" w:sz="8" w:space="0" w:color="000000"/>
            </w:tcBorders>
            <w:shd w:val="clear" w:color="auto" w:fill="auto"/>
            <w:vAlign w:val="center"/>
          </w:tcPr>
          <w:p w14:paraId="330D98F2" w14:textId="77777777" w:rsidR="006041CA" w:rsidRDefault="001271CC">
            <w:pPr>
              <w:spacing w:after="120" w:line="360" w:lineRule="auto"/>
              <w:rPr>
                <w:color w:val="000000"/>
              </w:rPr>
            </w:pPr>
            <w:r>
              <w:rPr>
                <w:color w:val="000000"/>
              </w:rPr>
              <w:t>2. La mayoría de los indicadores de gestión de la MIR Federal del FONE de responsabilidad estatal se cumplieron, esto de acuerdo  con el parámetro de cumplimiento de las metas de ±10%.</w:t>
            </w:r>
          </w:p>
        </w:tc>
        <w:tc>
          <w:tcPr>
            <w:tcW w:w="3913" w:type="dxa"/>
            <w:vMerge/>
            <w:tcBorders>
              <w:top w:val="nil"/>
              <w:left w:val="single" w:sz="8" w:space="0" w:color="000000"/>
              <w:bottom w:val="nil"/>
              <w:right w:val="single" w:sz="8" w:space="0" w:color="000000"/>
            </w:tcBorders>
            <w:shd w:val="clear" w:color="auto" w:fill="FFC4D4"/>
            <w:vAlign w:val="center"/>
          </w:tcPr>
          <w:p w14:paraId="2BB1590D" w14:textId="77777777" w:rsidR="006041CA" w:rsidRDefault="006041CA">
            <w:pPr>
              <w:widowControl w:val="0"/>
              <w:pBdr>
                <w:top w:val="nil"/>
                <w:left w:val="nil"/>
                <w:bottom w:val="nil"/>
                <w:right w:val="nil"/>
                <w:between w:val="nil"/>
              </w:pBdr>
              <w:spacing w:after="0" w:line="276" w:lineRule="auto"/>
              <w:rPr>
                <w:color w:val="000000"/>
              </w:rPr>
            </w:pPr>
          </w:p>
        </w:tc>
        <w:tc>
          <w:tcPr>
            <w:tcW w:w="3010" w:type="dxa"/>
            <w:vMerge/>
            <w:tcBorders>
              <w:top w:val="nil"/>
              <w:left w:val="single" w:sz="8" w:space="0" w:color="000000"/>
              <w:bottom w:val="nil"/>
              <w:right w:val="single" w:sz="8" w:space="0" w:color="000000"/>
            </w:tcBorders>
            <w:shd w:val="clear" w:color="auto" w:fill="FFFFFF"/>
            <w:vAlign w:val="center"/>
          </w:tcPr>
          <w:p w14:paraId="4DB21918" w14:textId="77777777" w:rsidR="006041CA" w:rsidRDefault="006041CA">
            <w:pPr>
              <w:widowControl w:val="0"/>
              <w:pBdr>
                <w:top w:val="nil"/>
                <w:left w:val="nil"/>
                <w:bottom w:val="nil"/>
                <w:right w:val="nil"/>
                <w:between w:val="nil"/>
              </w:pBdr>
              <w:spacing w:after="0" w:line="276" w:lineRule="auto"/>
              <w:rPr>
                <w:color w:val="000000"/>
              </w:rPr>
            </w:pPr>
          </w:p>
        </w:tc>
      </w:tr>
      <w:tr w:rsidR="006041CA" w14:paraId="06A73F0B" w14:textId="77777777">
        <w:trPr>
          <w:trHeight w:val="315"/>
        </w:trPr>
        <w:tc>
          <w:tcPr>
            <w:tcW w:w="3039" w:type="dxa"/>
            <w:tcBorders>
              <w:top w:val="nil"/>
              <w:left w:val="single" w:sz="8" w:space="0" w:color="000000"/>
              <w:bottom w:val="single" w:sz="8" w:space="0" w:color="000000"/>
              <w:right w:val="single" w:sz="8" w:space="0" w:color="000000"/>
            </w:tcBorders>
            <w:shd w:val="clear" w:color="auto" w:fill="6C0C4C"/>
            <w:vAlign w:val="center"/>
          </w:tcPr>
          <w:p w14:paraId="06D3794C" w14:textId="77777777" w:rsidR="006041CA" w:rsidRDefault="001271CC">
            <w:pPr>
              <w:spacing w:after="120" w:line="360" w:lineRule="auto"/>
              <w:jc w:val="center"/>
              <w:rPr>
                <w:b/>
                <w:color w:val="FFFFFF"/>
              </w:rPr>
            </w:pPr>
            <w:r>
              <w:rPr>
                <w:b/>
                <w:color w:val="FFFFFF"/>
              </w:rPr>
              <w:t>Amenazas</w:t>
            </w:r>
          </w:p>
        </w:tc>
        <w:tc>
          <w:tcPr>
            <w:tcW w:w="3913" w:type="dxa"/>
            <w:tcBorders>
              <w:top w:val="nil"/>
              <w:left w:val="nil"/>
              <w:bottom w:val="single" w:sz="8" w:space="0" w:color="000000"/>
              <w:right w:val="single" w:sz="8" w:space="0" w:color="000000"/>
            </w:tcBorders>
            <w:shd w:val="clear" w:color="auto" w:fill="6C0C4C"/>
            <w:vAlign w:val="center"/>
          </w:tcPr>
          <w:p w14:paraId="79E0FC7F" w14:textId="77777777" w:rsidR="006041CA" w:rsidRDefault="001271CC">
            <w:pPr>
              <w:spacing w:after="120" w:line="360" w:lineRule="auto"/>
              <w:jc w:val="center"/>
              <w:rPr>
                <w:b/>
                <w:color w:val="FFFFFF"/>
              </w:rPr>
            </w:pPr>
            <w:r>
              <w:rPr>
                <w:b/>
                <w:color w:val="FFFFFF"/>
              </w:rPr>
              <w:t>Recomendaciones FA:</w:t>
            </w:r>
          </w:p>
        </w:tc>
        <w:tc>
          <w:tcPr>
            <w:tcW w:w="3010" w:type="dxa"/>
            <w:tcBorders>
              <w:top w:val="nil"/>
              <w:left w:val="nil"/>
              <w:bottom w:val="single" w:sz="8" w:space="0" w:color="000000"/>
              <w:right w:val="single" w:sz="8" w:space="0" w:color="000000"/>
            </w:tcBorders>
            <w:shd w:val="clear" w:color="auto" w:fill="6C0C4C"/>
            <w:vAlign w:val="center"/>
          </w:tcPr>
          <w:p w14:paraId="47439490" w14:textId="77777777" w:rsidR="006041CA" w:rsidRDefault="001271CC">
            <w:pPr>
              <w:spacing w:after="120" w:line="360" w:lineRule="auto"/>
              <w:jc w:val="center"/>
              <w:rPr>
                <w:b/>
                <w:color w:val="FFFFFF"/>
              </w:rPr>
            </w:pPr>
            <w:r>
              <w:rPr>
                <w:b/>
                <w:color w:val="FFFFFF"/>
              </w:rPr>
              <w:t>Recomendaciones DA:</w:t>
            </w:r>
          </w:p>
        </w:tc>
      </w:tr>
      <w:tr w:rsidR="006041CA" w14:paraId="4872A501" w14:textId="77777777">
        <w:trPr>
          <w:trHeight w:val="1815"/>
        </w:trPr>
        <w:tc>
          <w:tcPr>
            <w:tcW w:w="3039" w:type="dxa"/>
            <w:tcBorders>
              <w:top w:val="nil"/>
              <w:left w:val="single" w:sz="8" w:space="0" w:color="000000"/>
              <w:bottom w:val="single" w:sz="8" w:space="0" w:color="000000"/>
              <w:right w:val="single" w:sz="8" w:space="0" w:color="000000"/>
            </w:tcBorders>
            <w:shd w:val="clear" w:color="auto" w:fill="FFFFFF"/>
            <w:vAlign w:val="center"/>
          </w:tcPr>
          <w:p w14:paraId="592A3D98" w14:textId="77777777" w:rsidR="006041CA" w:rsidRDefault="001271CC">
            <w:pPr>
              <w:spacing w:after="120" w:line="360" w:lineRule="auto"/>
              <w:rPr>
                <w:color w:val="000000"/>
              </w:rPr>
            </w:pPr>
            <w:r>
              <w:rPr>
                <w:color w:val="000000"/>
              </w:rPr>
              <w:t>1. No se define la temporalidad de la publicación de los medios de verificación de los indicadores a nivel de resultados (Fin y Propósito) del Programa presupuestario.</w:t>
            </w:r>
          </w:p>
        </w:tc>
        <w:tc>
          <w:tcPr>
            <w:tcW w:w="3913" w:type="dxa"/>
            <w:tcBorders>
              <w:top w:val="nil"/>
              <w:left w:val="nil"/>
              <w:bottom w:val="single" w:sz="8" w:space="0" w:color="000000"/>
              <w:right w:val="single" w:sz="8" w:space="0" w:color="000000"/>
            </w:tcBorders>
            <w:shd w:val="clear" w:color="auto" w:fill="FFFFFF"/>
            <w:vAlign w:val="center"/>
          </w:tcPr>
          <w:p w14:paraId="4489DDB0" w14:textId="77777777" w:rsidR="006041CA" w:rsidRDefault="001271CC">
            <w:pPr>
              <w:spacing w:after="120" w:line="360" w:lineRule="auto"/>
              <w:rPr>
                <w:color w:val="000000"/>
              </w:rPr>
            </w:pPr>
            <w:r>
              <w:rPr>
                <w:color w:val="000000"/>
              </w:rPr>
              <w:t>1. Tomar en cuenta la información con la que se cuenta y definir en el Formato de la MIR del Programa "AE01 Educación Básica" la Temporalidad de los Medios de Verificación de los Indicadores a nivel de resultados estratégicos.</w:t>
            </w:r>
          </w:p>
        </w:tc>
        <w:tc>
          <w:tcPr>
            <w:tcW w:w="3010" w:type="dxa"/>
            <w:tcBorders>
              <w:top w:val="nil"/>
              <w:left w:val="nil"/>
              <w:bottom w:val="single" w:sz="8" w:space="0" w:color="000000"/>
              <w:right w:val="single" w:sz="8" w:space="0" w:color="000000"/>
            </w:tcBorders>
            <w:shd w:val="clear" w:color="auto" w:fill="FFFFFF"/>
            <w:vAlign w:val="center"/>
          </w:tcPr>
          <w:p w14:paraId="780A913C" w14:textId="77777777" w:rsidR="006041CA" w:rsidRDefault="001271CC">
            <w:pPr>
              <w:spacing w:after="120" w:line="360" w:lineRule="auto"/>
              <w:jc w:val="center"/>
              <w:rPr>
                <w:color w:val="000000"/>
              </w:rPr>
            </w:pPr>
            <w:r>
              <w:rPr>
                <w:color w:val="000000"/>
              </w:rPr>
              <w:t>No se especifican recomendaciones en este cruce de análisis.</w:t>
            </w:r>
          </w:p>
        </w:tc>
      </w:tr>
    </w:tbl>
    <w:p w14:paraId="7130FB17" w14:textId="77777777" w:rsidR="006041CA" w:rsidRDefault="006041CA">
      <w:pPr>
        <w:spacing w:after="120" w:line="360" w:lineRule="auto"/>
      </w:pPr>
    </w:p>
    <w:p w14:paraId="7F1D987D" w14:textId="77777777" w:rsidR="006041CA" w:rsidRDefault="001271CC">
      <w:pPr>
        <w:spacing w:after="120" w:line="360" w:lineRule="auto"/>
      </w:pPr>
      <w:r>
        <w:br w:type="page"/>
      </w:r>
    </w:p>
    <w:tbl>
      <w:tblPr>
        <w:tblStyle w:val="a3"/>
        <w:tblW w:w="9962" w:type="dxa"/>
        <w:tblInd w:w="-10" w:type="dxa"/>
        <w:tblLayout w:type="fixed"/>
        <w:tblLook w:val="0400" w:firstRow="0" w:lastRow="0" w:firstColumn="0" w:lastColumn="0" w:noHBand="0" w:noVBand="1"/>
      </w:tblPr>
      <w:tblGrid>
        <w:gridCol w:w="2944"/>
        <w:gridCol w:w="4002"/>
        <w:gridCol w:w="3016"/>
      </w:tblGrid>
      <w:tr w:rsidR="006041CA" w14:paraId="39CDAC33" w14:textId="77777777">
        <w:trPr>
          <w:trHeight w:val="315"/>
        </w:trPr>
        <w:tc>
          <w:tcPr>
            <w:tcW w:w="9962"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2D6FEC6C" w14:textId="77777777" w:rsidR="006041CA" w:rsidRDefault="001271CC">
            <w:pPr>
              <w:spacing w:after="120" w:line="360" w:lineRule="auto"/>
              <w:rPr>
                <w:b/>
                <w:color w:val="000000"/>
              </w:rPr>
            </w:pPr>
            <w:r>
              <w:rPr>
                <w:b/>
                <w:color w:val="000000"/>
              </w:rPr>
              <w:t>Matriz FODA: Productos</w:t>
            </w:r>
          </w:p>
        </w:tc>
      </w:tr>
      <w:tr w:rsidR="006041CA" w14:paraId="76E589B3" w14:textId="77777777">
        <w:trPr>
          <w:trHeight w:val="300"/>
        </w:trPr>
        <w:tc>
          <w:tcPr>
            <w:tcW w:w="2944" w:type="dxa"/>
            <w:tcBorders>
              <w:top w:val="nil"/>
              <w:left w:val="single" w:sz="8" w:space="0" w:color="000000"/>
              <w:bottom w:val="nil"/>
              <w:right w:val="single" w:sz="8" w:space="0" w:color="000000"/>
            </w:tcBorders>
            <w:shd w:val="clear" w:color="auto" w:fill="6C0C4C"/>
            <w:vAlign w:val="center"/>
          </w:tcPr>
          <w:p w14:paraId="2253E683" w14:textId="77777777" w:rsidR="006041CA" w:rsidRDefault="001271CC">
            <w:pPr>
              <w:spacing w:after="120" w:line="360" w:lineRule="auto"/>
              <w:jc w:val="right"/>
              <w:rPr>
                <w:b/>
                <w:color w:val="FFFFFF"/>
              </w:rPr>
            </w:pPr>
            <w:r>
              <w:rPr>
                <w:b/>
                <w:color w:val="FFFFFF"/>
              </w:rPr>
              <w:t>Factores internos</w:t>
            </w:r>
          </w:p>
        </w:tc>
        <w:tc>
          <w:tcPr>
            <w:tcW w:w="4002" w:type="dxa"/>
            <w:vMerge w:val="restart"/>
            <w:tcBorders>
              <w:top w:val="nil"/>
              <w:left w:val="single" w:sz="8" w:space="0" w:color="000000"/>
              <w:bottom w:val="single" w:sz="8" w:space="0" w:color="000000"/>
              <w:right w:val="single" w:sz="8" w:space="0" w:color="000000"/>
            </w:tcBorders>
            <w:shd w:val="clear" w:color="auto" w:fill="6C0C4C"/>
            <w:vAlign w:val="center"/>
          </w:tcPr>
          <w:p w14:paraId="07BEFC18" w14:textId="77777777" w:rsidR="006041CA" w:rsidRDefault="001271CC">
            <w:pPr>
              <w:spacing w:after="120" w:line="360" w:lineRule="auto"/>
              <w:jc w:val="center"/>
              <w:rPr>
                <w:b/>
                <w:color w:val="FFFFFF"/>
              </w:rPr>
            </w:pPr>
            <w:r>
              <w:rPr>
                <w:b/>
                <w:color w:val="FFFFFF"/>
              </w:rPr>
              <w:t>Fortalezas</w:t>
            </w:r>
          </w:p>
        </w:tc>
        <w:tc>
          <w:tcPr>
            <w:tcW w:w="3016" w:type="dxa"/>
            <w:vMerge w:val="restart"/>
            <w:tcBorders>
              <w:top w:val="nil"/>
              <w:left w:val="single" w:sz="8" w:space="0" w:color="000000"/>
              <w:bottom w:val="single" w:sz="8" w:space="0" w:color="000000"/>
              <w:right w:val="single" w:sz="8" w:space="0" w:color="000000"/>
            </w:tcBorders>
            <w:shd w:val="clear" w:color="auto" w:fill="6C0C4C"/>
            <w:vAlign w:val="center"/>
          </w:tcPr>
          <w:p w14:paraId="44D9E9A7" w14:textId="77777777" w:rsidR="006041CA" w:rsidRDefault="001271CC">
            <w:pPr>
              <w:spacing w:after="120" w:line="360" w:lineRule="auto"/>
              <w:jc w:val="center"/>
              <w:rPr>
                <w:b/>
                <w:color w:val="FFFFFF"/>
              </w:rPr>
            </w:pPr>
            <w:r>
              <w:rPr>
                <w:b/>
                <w:color w:val="FFFFFF"/>
              </w:rPr>
              <w:t>Debilidades</w:t>
            </w:r>
          </w:p>
        </w:tc>
      </w:tr>
      <w:tr w:rsidR="006041CA" w14:paraId="7B698C46" w14:textId="77777777">
        <w:trPr>
          <w:trHeight w:val="300"/>
        </w:trPr>
        <w:tc>
          <w:tcPr>
            <w:tcW w:w="2944" w:type="dxa"/>
            <w:tcBorders>
              <w:top w:val="nil"/>
              <w:left w:val="single" w:sz="8" w:space="0" w:color="000000"/>
              <w:bottom w:val="nil"/>
              <w:right w:val="single" w:sz="8" w:space="0" w:color="000000"/>
            </w:tcBorders>
            <w:shd w:val="clear" w:color="auto" w:fill="6C0C4C"/>
            <w:vAlign w:val="center"/>
          </w:tcPr>
          <w:p w14:paraId="5EE096A8" w14:textId="77777777" w:rsidR="006041CA" w:rsidRDefault="001271CC">
            <w:pPr>
              <w:spacing w:after="120" w:line="360" w:lineRule="auto"/>
              <w:rPr>
                <w:b/>
                <w:color w:val="FFFFFF"/>
              </w:rPr>
            </w:pPr>
            <w:r>
              <w:rPr>
                <w:b/>
                <w:color w:val="FFFFFF"/>
              </w:rPr>
              <w:t> </w:t>
            </w:r>
          </w:p>
        </w:tc>
        <w:tc>
          <w:tcPr>
            <w:tcW w:w="4002" w:type="dxa"/>
            <w:vMerge/>
            <w:tcBorders>
              <w:top w:val="nil"/>
              <w:left w:val="single" w:sz="8" w:space="0" w:color="000000"/>
              <w:bottom w:val="single" w:sz="8" w:space="0" w:color="000000"/>
              <w:right w:val="single" w:sz="8" w:space="0" w:color="000000"/>
            </w:tcBorders>
            <w:shd w:val="clear" w:color="auto" w:fill="6C0C4C"/>
            <w:vAlign w:val="center"/>
          </w:tcPr>
          <w:p w14:paraId="690083F8" w14:textId="77777777" w:rsidR="006041CA" w:rsidRDefault="006041CA">
            <w:pPr>
              <w:widowControl w:val="0"/>
              <w:pBdr>
                <w:top w:val="nil"/>
                <w:left w:val="nil"/>
                <w:bottom w:val="nil"/>
                <w:right w:val="nil"/>
                <w:between w:val="nil"/>
              </w:pBdr>
              <w:spacing w:after="0" w:line="276" w:lineRule="auto"/>
              <w:rPr>
                <w:b/>
                <w:color w:val="FFFFFF"/>
              </w:rPr>
            </w:pPr>
          </w:p>
        </w:tc>
        <w:tc>
          <w:tcPr>
            <w:tcW w:w="3016" w:type="dxa"/>
            <w:vMerge/>
            <w:tcBorders>
              <w:top w:val="nil"/>
              <w:left w:val="single" w:sz="8" w:space="0" w:color="000000"/>
              <w:bottom w:val="single" w:sz="8" w:space="0" w:color="000000"/>
              <w:right w:val="single" w:sz="8" w:space="0" w:color="000000"/>
            </w:tcBorders>
            <w:shd w:val="clear" w:color="auto" w:fill="6C0C4C"/>
            <w:vAlign w:val="center"/>
          </w:tcPr>
          <w:p w14:paraId="53D3B23C" w14:textId="77777777" w:rsidR="006041CA" w:rsidRDefault="006041CA">
            <w:pPr>
              <w:widowControl w:val="0"/>
              <w:pBdr>
                <w:top w:val="nil"/>
                <w:left w:val="nil"/>
                <w:bottom w:val="nil"/>
                <w:right w:val="nil"/>
                <w:between w:val="nil"/>
              </w:pBdr>
              <w:spacing w:after="0" w:line="276" w:lineRule="auto"/>
              <w:rPr>
                <w:b/>
                <w:color w:val="FFFFFF"/>
              </w:rPr>
            </w:pPr>
          </w:p>
        </w:tc>
      </w:tr>
      <w:tr w:rsidR="006041CA" w14:paraId="4FB7302B" w14:textId="77777777">
        <w:trPr>
          <w:trHeight w:val="315"/>
        </w:trPr>
        <w:tc>
          <w:tcPr>
            <w:tcW w:w="2944" w:type="dxa"/>
            <w:tcBorders>
              <w:top w:val="nil"/>
              <w:left w:val="single" w:sz="8" w:space="0" w:color="000000"/>
              <w:bottom w:val="nil"/>
              <w:right w:val="single" w:sz="8" w:space="0" w:color="000000"/>
            </w:tcBorders>
            <w:shd w:val="clear" w:color="auto" w:fill="6C0C4C"/>
            <w:vAlign w:val="center"/>
          </w:tcPr>
          <w:p w14:paraId="1B374986" w14:textId="77777777" w:rsidR="006041CA" w:rsidRDefault="001271CC">
            <w:pPr>
              <w:spacing w:after="120" w:line="360" w:lineRule="auto"/>
              <w:rPr>
                <w:b/>
                <w:color w:val="FFFFFF"/>
              </w:rPr>
            </w:pPr>
            <w:r>
              <w:rPr>
                <w:b/>
                <w:color w:val="FFFFFF"/>
              </w:rPr>
              <w:t> </w:t>
            </w:r>
          </w:p>
        </w:tc>
        <w:tc>
          <w:tcPr>
            <w:tcW w:w="4002" w:type="dxa"/>
            <w:vMerge/>
            <w:tcBorders>
              <w:top w:val="nil"/>
              <w:left w:val="single" w:sz="8" w:space="0" w:color="000000"/>
              <w:bottom w:val="single" w:sz="8" w:space="0" w:color="000000"/>
              <w:right w:val="single" w:sz="8" w:space="0" w:color="000000"/>
            </w:tcBorders>
            <w:shd w:val="clear" w:color="auto" w:fill="6C0C4C"/>
            <w:vAlign w:val="center"/>
          </w:tcPr>
          <w:p w14:paraId="330C6954" w14:textId="77777777" w:rsidR="006041CA" w:rsidRDefault="006041CA">
            <w:pPr>
              <w:widowControl w:val="0"/>
              <w:pBdr>
                <w:top w:val="nil"/>
                <w:left w:val="nil"/>
                <w:bottom w:val="nil"/>
                <w:right w:val="nil"/>
                <w:between w:val="nil"/>
              </w:pBdr>
              <w:spacing w:after="0" w:line="276" w:lineRule="auto"/>
              <w:rPr>
                <w:b/>
                <w:color w:val="FFFFFF"/>
              </w:rPr>
            </w:pPr>
          </w:p>
        </w:tc>
        <w:tc>
          <w:tcPr>
            <w:tcW w:w="3016" w:type="dxa"/>
            <w:vMerge/>
            <w:tcBorders>
              <w:top w:val="nil"/>
              <w:left w:val="single" w:sz="8" w:space="0" w:color="000000"/>
              <w:bottom w:val="single" w:sz="8" w:space="0" w:color="000000"/>
              <w:right w:val="single" w:sz="8" w:space="0" w:color="000000"/>
            </w:tcBorders>
            <w:shd w:val="clear" w:color="auto" w:fill="6C0C4C"/>
            <w:vAlign w:val="center"/>
          </w:tcPr>
          <w:p w14:paraId="7E319893" w14:textId="77777777" w:rsidR="006041CA" w:rsidRDefault="006041CA">
            <w:pPr>
              <w:widowControl w:val="0"/>
              <w:pBdr>
                <w:top w:val="nil"/>
                <w:left w:val="nil"/>
                <w:bottom w:val="nil"/>
                <w:right w:val="nil"/>
                <w:between w:val="nil"/>
              </w:pBdr>
              <w:spacing w:after="0" w:line="276" w:lineRule="auto"/>
              <w:rPr>
                <w:b/>
                <w:color w:val="FFFFFF"/>
              </w:rPr>
            </w:pPr>
          </w:p>
        </w:tc>
      </w:tr>
      <w:tr w:rsidR="006041CA" w14:paraId="66459B81" w14:textId="77777777">
        <w:trPr>
          <w:trHeight w:val="915"/>
        </w:trPr>
        <w:tc>
          <w:tcPr>
            <w:tcW w:w="2944" w:type="dxa"/>
            <w:tcBorders>
              <w:top w:val="nil"/>
              <w:left w:val="single" w:sz="8" w:space="0" w:color="000000"/>
              <w:bottom w:val="nil"/>
              <w:right w:val="single" w:sz="8" w:space="0" w:color="000000"/>
            </w:tcBorders>
            <w:shd w:val="clear" w:color="auto" w:fill="6C0C4C"/>
            <w:vAlign w:val="center"/>
          </w:tcPr>
          <w:p w14:paraId="41BFC9B2" w14:textId="77777777" w:rsidR="006041CA" w:rsidRDefault="001271CC">
            <w:pPr>
              <w:spacing w:after="120" w:line="360" w:lineRule="auto"/>
              <w:rPr>
                <w:b/>
                <w:color w:val="FFFFFF"/>
              </w:rPr>
            </w:pPr>
            <w:r>
              <w:rPr>
                <w:b/>
                <w:color w:val="FFFFFF"/>
              </w:rPr>
              <w:t> </w:t>
            </w:r>
          </w:p>
        </w:tc>
        <w:tc>
          <w:tcPr>
            <w:tcW w:w="4002" w:type="dxa"/>
            <w:tcBorders>
              <w:top w:val="nil"/>
              <w:left w:val="nil"/>
              <w:bottom w:val="single" w:sz="8" w:space="0" w:color="000000"/>
              <w:right w:val="single" w:sz="8" w:space="0" w:color="000000"/>
            </w:tcBorders>
            <w:shd w:val="clear" w:color="auto" w:fill="auto"/>
            <w:vAlign w:val="center"/>
          </w:tcPr>
          <w:p w14:paraId="75A996F7" w14:textId="77777777" w:rsidR="006041CA" w:rsidRDefault="001271CC">
            <w:pPr>
              <w:spacing w:after="120" w:line="360" w:lineRule="auto"/>
              <w:rPr>
                <w:color w:val="000000"/>
              </w:rPr>
            </w:pPr>
            <w:r>
              <w:rPr>
                <w:color w:val="000000"/>
              </w:rPr>
              <w:t>1. Las metas de los indicadores a nivel de Componente del Pp reportan un cumplimiento del 100% para el 2023.</w:t>
            </w:r>
          </w:p>
        </w:tc>
        <w:tc>
          <w:tcPr>
            <w:tcW w:w="3016" w:type="dxa"/>
            <w:vMerge w:val="restart"/>
            <w:tcBorders>
              <w:top w:val="nil"/>
              <w:left w:val="single" w:sz="8" w:space="0" w:color="000000"/>
              <w:bottom w:val="single" w:sz="8" w:space="0" w:color="000000"/>
              <w:right w:val="single" w:sz="8" w:space="0" w:color="000000"/>
            </w:tcBorders>
            <w:shd w:val="clear" w:color="auto" w:fill="auto"/>
            <w:vAlign w:val="center"/>
          </w:tcPr>
          <w:p w14:paraId="061171C1" w14:textId="77777777" w:rsidR="006041CA" w:rsidRDefault="001271CC">
            <w:pPr>
              <w:spacing w:after="120" w:line="360" w:lineRule="auto"/>
              <w:jc w:val="center"/>
              <w:rPr>
                <w:color w:val="000000"/>
              </w:rPr>
            </w:pPr>
            <w:r>
              <w:rPr>
                <w:color w:val="000000"/>
              </w:rPr>
              <w:t>No se identifican Debilidades</w:t>
            </w:r>
          </w:p>
        </w:tc>
      </w:tr>
      <w:tr w:rsidR="006041CA" w14:paraId="46C726D8" w14:textId="77777777">
        <w:trPr>
          <w:trHeight w:val="1215"/>
        </w:trPr>
        <w:tc>
          <w:tcPr>
            <w:tcW w:w="2944" w:type="dxa"/>
            <w:tcBorders>
              <w:top w:val="nil"/>
              <w:left w:val="single" w:sz="8" w:space="0" w:color="000000"/>
              <w:bottom w:val="single" w:sz="8" w:space="0" w:color="000000"/>
              <w:right w:val="single" w:sz="8" w:space="0" w:color="000000"/>
            </w:tcBorders>
            <w:shd w:val="clear" w:color="auto" w:fill="6C0C4C"/>
            <w:vAlign w:val="center"/>
          </w:tcPr>
          <w:p w14:paraId="176B8C04" w14:textId="77777777" w:rsidR="006041CA" w:rsidRDefault="001271CC">
            <w:pPr>
              <w:spacing w:after="120" w:line="360" w:lineRule="auto"/>
              <w:rPr>
                <w:b/>
                <w:color w:val="FFFFFF"/>
              </w:rPr>
            </w:pPr>
            <w:r>
              <w:rPr>
                <w:b/>
                <w:color w:val="FFFFFF"/>
              </w:rPr>
              <w:t>Factores externos</w:t>
            </w:r>
          </w:p>
        </w:tc>
        <w:tc>
          <w:tcPr>
            <w:tcW w:w="4002" w:type="dxa"/>
            <w:tcBorders>
              <w:top w:val="nil"/>
              <w:left w:val="nil"/>
              <w:bottom w:val="single" w:sz="8" w:space="0" w:color="000000"/>
              <w:right w:val="single" w:sz="8" w:space="0" w:color="000000"/>
            </w:tcBorders>
            <w:shd w:val="clear" w:color="auto" w:fill="auto"/>
            <w:vAlign w:val="center"/>
          </w:tcPr>
          <w:p w14:paraId="13E73B5D" w14:textId="77777777" w:rsidR="006041CA" w:rsidRDefault="001271CC">
            <w:pPr>
              <w:spacing w:after="120" w:line="360" w:lineRule="auto"/>
              <w:rPr>
                <w:color w:val="000000"/>
              </w:rPr>
            </w:pPr>
            <w:r>
              <w:rPr>
                <w:color w:val="000000"/>
              </w:rPr>
              <w:t>2. Se valida el criterio de evaluabilidad de los indicadores a nivel Componente, ya que sí se definen los medios de verificación y fuentes de información.</w:t>
            </w:r>
          </w:p>
        </w:tc>
        <w:tc>
          <w:tcPr>
            <w:tcW w:w="3016" w:type="dxa"/>
            <w:vMerge/>
            <w:tcBorders>
              <w:top w:val="nil"/>
              <w:left w:val="single" w:sz="8" w:space="0" w:color="000000"/>
              <w:bottom w:val="single" w:sz="8" w:space="0" w:color="000000"/>
              <w:right w:val="single" w:sz="8" w:space="0" w:color="000000"/>
            </w:tcBorders>
            <w:shd w:val="clear" w:color="auto" w:fill="auto"/>
            <w:vAlign w:val="center"/>
          </w:tcPr>
          <w:p w14:paraId="28DD2452" w14:textId="77777777" w:rsidR="006041CA" w:rsidRDefault="006041CA">
            <w:pPr>
              <w:widowControl w:val="0"/>
              <w:pBdr>
                <w:top w:val="nil"/>
                <w:left w:val="nil"/>
                <w:bottom w:val="nil"/>
                <w:right w:val="nil"/>
                <w:between w:val="nil"/>
              </w:pBdr>
              <w:spacing w:after="0" w:line="276" w:lineRule="auto"/>
              <w:rPr>
                <w:color w:val="000000"/>
              </w:rPr>
            </w:pPr>
          </w:p>
        </w:tc>
      </w:tr>
      <w:tr w:rsidR="006041CA" w14:paraId="203E0D7D" w14:textId="77777777">
        <w:trPr>
          <w:trHeight w:val="315"/>
        </w:trPr>
        <w:tc>
          <w:tcPr>
            <w:tcW w:w="2944" w:type="dxa"/>
            <w:tcBorders>
              <w:top w:val="nil"/>
              <w:left w:val="single" w:sz="8" w:space="0" w:color="000000"/>
              <w:bottom w:val="single" w:sz="8" w:space="0" w:color="000000"/>
              <w:right w:val="single" w:sz="8" w:space="0" w:color="000000"/>
            </w:tcBorders>
            <w:shd w:val="clear" w:color="auto" w:fill="6C0C4C"/>
            <w:vAlign w:val="center"/>
          </w:tcPr>
          <w:p w14:paraId="612A0A21" w14:textId="77777777" w:rsidR="006041CA" w:rsidRDefault="001271CC">
            <w:pPr>
              <w:spacing w:after="120" w:line="360" w:lineRule="auto"/>
              <w:jc w:val="center"/>
              <w:rPr>
                <w:b/>
                <w:color w:val="FFFFFF"/>
              </w:rPr>
            </w:pPr>
            <w:r>
              <w:rPr>
                <w:b/>
                <w:color w:val="FFFFFF"/>
              </w:rPr>
              <w:t>Oportunidades</w:t>
            </w:r>
          </w:p>
        </w:tc>
        <w:tc>
          <w:tcPr>
            <w:tcW w:w="4002" w:type="dxa"/>
            <w:vMerge w:val="restart"/>
            <w:tcBorders>
              <w:top w:val="nil"/>
              <w:left w:val="single" w:sz="8" w:space="0" w:color="000000"/>
              <w:bottom w:val="nil"/>
              <w:right w:val="single" w:sz="8" w:space="0" w:color="000000"/>
            </w:tcBorders>
            <w:shd w:val="clear" w:color="auto" w:fill="FFC4D4"/>
            <w:vAlign w:val="center"/>
          </w:tcPr>
          <w:p w14:paraId="24D36FC7" w14:textId="77777777" w:rsidR="006041CA" w:rsidRDefault="001271CC">
            <w:pPr>
              <w:spacing w:after="120" w:line="360" w:lineRule="auto"/>
              <w:jc w:val="center"/>
              <w:rPr>
                <w:color w:val="000000"/>
              </w:rPr>
            </w:pPr>
            <w:r>
              <w:rPr>
                <w:color w:val="000000"/>
              </w:rPr>
              <w:t>FO: No aplican recomendaciones; sin embargo, la institución sí debe identificar estrategias en donde, mediante las fortalezas internas, se aproveche la ventaja de las oportunidades externas.</w:t>
            </w:r>
          </w:p>
        </w:tc>
        <w:tc>
          <w:tcPr>
            <w:tcW w:w="3016" w:type="dxa"/>
            <w:tcBorders>
              <w:top w:val="nil"/>
              <w:left w:val="nil"/>
              <w:bottom w:val="single" w:sz="8" w:space="0" w:color="000000"/>
              <w:right w:val="single" w:sz="8" w:space="0" w:color="000000"/>
            </w:tcBorders>
            <w:shd w:val="clear" w:color="auto" w:fill="6C0C4C"/>
            <w:vAlign w:val="center"/>
          </w:tcPr>
          <w:p w14:paraId="5E73EC53" w14:textId="77777777" w:rsidR="006041CA" w:rsidRDefault="001271CC">
            <w:pPr>
              <w:spacing w:after="120" w:line="360" w:lineRule="auto"/>
              <w:jc w:val="center"/>
              <w:rPr>
                <w:b/>
                <w:color w:val="FFFFFF"/>
              </w:rPr>
            </w:pPr>
            <w:r>
              <w:rPr>
                <w:b/>
                <w:color w:val="FFFFFF"/>
              </w:rPr>
              <w:t>Recomendaciones DO:</w:t>
            </w:r>
          </w:p>
        </w:tc>
      </w:tr>
      <w:tr w:rsidR="006041CA" w14:paraId="0CF485F8" w14:textId="77777777">
        <w:trPr>
          <w:trHeight w:val="1515"/>
        </w:trPr>
        <w:tc>
          <w:tcPr>
            <w:tcW w:w="2944" w:type="dxa"/>
            <w:tcBorders>
              <w:top w:val="nil"/>
              <w:left w:val="single" w:sz="8" w:space="0" w:color="000000"/>
              <w:bottom w:val="single" w:sz="8" w:space="0" w:color="000000"/>
              <w:right w:val="single" w:sz="8" w:space="0" w:color="000000"/>
            </w:tcBorders>
            <w:shd w:val="clear" w:color="auto" w:fill="auto"/>
            <w:vAlign w:val="center"/>
          </w:tcPr>
          <w:p w14:paraId="07982604" w14:textId="77777777" w:rsidR="006041CA" w:rsidRDefault="001271CC">
            <w:pPr>
              <w:spacing w:after="120" w:line="360" w:lineRule="auto"/>
              <w:rPr>
                <w:color w:val="000000"/>
              </w:rPr>
            </w:pPr>
            <w:r>
              <w:rPr>
                <w:color w:val="000000"/>
              </w:rPr>
              <w:t>1. En la Guía para el diseño de la Matriz de Indicadores para Resultados se describe que un Pp no se</w:t>
            </w:r>
            <w:r>
              <w:rPr>
                <w:color w:val="000000"/>
                <w:highlight w:val="yellow"/>
              </w:rPr>
              <w:t xml:space="preserve"> </w:t>
            </w:r>
            <w:r>
              <w:rPr>
                <w:highlight w:val="yellow"/>
              </w:rPr>
              <w:t>está</w:t>
            </w:r>
            <w:r>
              <w:rPr>
                <w:color w:val="000000"/>
                <w:highlight w:val="yellow"/>
              </w:rPr>
              <w:t xml:space="preserve"> </w:t>
            </w:r>
            <w:r>
              <w:rPr>
                <w:color w:val="000000"/>
              </w:rPr>
              <w:t>obligado a registrar indicadores para todas las dimensiones descritas.</w:t>
            </w:r>
          </w:p>
        </w:tc>
        <w:tc>
          <w:tcPr>
            <w:tcW w:w="4002" w:type="dxa"/>
            <w:vMerge/>
            <w:tcBorders>
              <w:top w:val="nil"/>
              <w:left w:val="single" w:sz="8" w:space="0" w:color="000000"/>
              <w:bottom w:val="nil"/>
              <w:right w:val="single" w:sz="8" w:space="0" w:color="000000"/>
            </w:tcBorders>
            <w:shd w:val="clear" w:color="auto" w:fill="FFC4D4"/>
            <w:vAlign w:val="center"/>
          </w:tcPr>
          <w:p w14:paraId="72F7245E" w14:textId="77777777" w:rsidR="006041CA" w:rsidRDefault="006041CA">
            <w:pPr>
              <w:widowControl w:val="0"/>
              <w:pBdr>
                <w:top w:val="nil"/>
                <w:left w:val="nil"/>
                <w:bottom w:val="nil"/>
                <w:right w:val="nil"/>
                <w:between w:val="nil"/>
              </w:pBdr>
              <w:spacing w:after="0" w:line="276" w:lineRule="auto"/>
              <w:rPr>
                <w:color w:val="000000"/>
              </w:rPr>
            </w:pPr>
          </w:p>
        </w:tc>
        <w:tc>
          <w:tcPr>
            <w:tcW w:w="3016" w:type="dxa"/>
            <w:tcBorders>
              <w:top w:val="nil"/>
              <w:left w:val="nil"/>
              <w:bottom w:val="nil"/>
              <w:right w:val="single" w:sz="8" w:space="0" w:color="000000"/>
            </w:tcBorders>
            <w:shd w:val="clear" w:color="auto" w:fill="FFFFFF"/>
            <w:vAlign w:val="center"/>
          </w:tcPr>
          <w:p w14:paraId="0E3B1DD7" w14:textId="77777777" w:rsidR="006041CA" w:rsidRDefault="001271CC">
            <w:pPr>
              <w:spacing w:after="120" w:line="360" w:lineRule="auto"/>
              <w:jc w:val="center"/>
              <w:rPr>
                <w:color w:val="000000"/>
              </w:rPr>
            </w:pPr>
            <w:r>
              <w:rPr>
                <w:color w:val="000000"/>
              </w:rPr>
              <w:t>No se especifican recomendaciones en este cruce de análisis.</w:t>
            </w:r>
          </w:p>
        </w:tc>
      </w:tr>
      <w:tr w:rsidR="006041CA" w14:paraId="65B29CF3" w14:textId="77777777">
        <w:trPr>
          <w:trHeight w:val="315"/>
        </w:trPr>
        <w:tc>
          <w:tcPr>
            <w:tcW w:w="2944" w:type="dxa"/>
            <w:tcBorders>
              <w:top w:val="nil"/>
              <w:left w:val="single" w:sz="8" w:space="0" w:color="000000"/>
              <w:bottom w:val="single" w:sz="8" w:space="0" w:color="000000"/>
              <w:right w:val="single" w:sz="8" w:space="0" w:color="000000"/>
            </w:tcBorders>
            <w:shd w:val="clear" w:color="auto" w:fill="6C0C4C"/>
            <w:vAlign w:val="center"/>
          </w:tcPr>
          <w:p w14:paraId="1BC42BCD" w14:textId="77777777" w:rsidR="006041CA" w:rsidRDefault="001271CC">
            <w:pPr>
              <w:spacing w:after="120" w:line="360" w:lineRule="auto"/>
              <w:jc w:val="center"/>
              <w:rPr>
                <w:b/>
                <w:color w:val="FFFFFF"/>
              </w:rPr>
            </w:pPr>
            <w:r>
              <w:rPr>
                <w:b/>
                <w:color w:val="FFFFFF"/>
              </w:rPr>
              <w:t>Amenazas</w:t>
            </w:r>
          </w:p>
        </w:tc>
        <w:tc>
          <w:tcPr>
            <w:tcW w:w="4002" w:type="dxa"/>
            <w:tcBorders>
              <w:top w:val="nil"/>
              <w:left w:val="nil"/>
              <w:bottom w:val="single" w:sz="8" w:space="0" w:color="000000"/>
              <w:right w:val="single" w:sz="8" w:space="0" w:color="000000"/>
            </w:tcBorders>
            <w:shd w:val="clear" w:color="auto" w:fill="6C0C4C"/>
            <w:vAlign w:val="center"/>
          </w:tcPr>
          <w:p w14:paraId="4FD10D7F" w14:textId="77777777" w:rsidR="006041CA" w:rsidRDefault="001271CC">
            <w:pPr>
              <w:spacing w:after="120" w:line="360" w:lineRule="auto"/>
              <w:jc w:val="center"/>
              <w:rPr>
                <w:b/>
                <w:color w:val="FFFFFF"/>
              </w:rPr>
            </w:pPr>
            <w:r>
              <w:rPr>
                <w:b/>
                <w:color w:val="FFFFFF"/>
              </w:rPr>
              <w:t>Recomendaciones FA:</w:t>
            </w:r>
          </w:p>
        </w:tc>
        <w:tc>
          <w:tcPr>
            <w:tcW w:w="3016" w:type="dxa"/>
            <w:tcBorders>
              <w:top w:val="nil"/>
              <w:left w:val="nil"/>
              <w:bottom w:val="single" w:sz="8" w:space="0" w:color="000000"/>
              <w:right w:val="single" w:sz="8" w:space="0" w:color="000000"/>
            </w:tcBorders>
            <w:shd w:val="clear" w:color="auto" w:fill="6C0C4C"/>
            <w:vAlign w:val="center"/>
          </w:tcPr>
          <w:p w14:paraId="21FF998E" w14:textId="77777777" w:rsidR="006041CA" w:rsidRDefault="001271CC">
            <w:pPr>
              <w:spacing w:after="120" w:line="360" w:lineRule="auto"/>
              <w:jc w:val="center"/>
              <w:rPr>
                <w:b/>
                <w:color w:val="FFFFFF"/>
              </w:rPr>
            </w:pPr>
            <w:r>
              <w:rPr>
                <w:b/>
                <w:color w:val="FFFFFF"/>
              </w:rPr>
              <w:t>Recomendaciones DA:</w:t>
            </w:r>
          </w:p>
        </w:tc>
      </w:tr>
      <w:tr w:rsidR="006041CA" w14:paraId="7D230F39" w14:textId="77777777">
        <w:trPr>
          <w:trHeight w:val="1815"/>
        </w:trPr>
        <w:tc>
          <w:tcPr>
            <w:tcW w:w="2944" w:type="dxa"/>
            <w:tcBorders>
              <w:top w:val="nil"/>
              <w:left w:val="single" w:sz="8" w:space="0" w:color="000000"/>
              <w:bottom w:val="single" w:sz="8" w:space="0" w:color="000000"/>
              <w:right w:val="single" w:sz="8" w:space="0" w:color="000000"/>
            </w:tcBorders>
            <w:shd w:val="clear" w:color="auto" w:fill="auto"/>
            <w:vAlign w:val="center"/>
          </w:tcPr>
          <w:p w14:paraId="103BF13E" w14:textId="77777777" w:rsidR="006041CA" w:rsidRDefault="001271CC">
            <w:pPr>
              <w:spacing w:after="120" w:line="360" w:lineRule="auto"/>
              <w:rPr>
                <w:color w:val="000000"/>
              </w:rPr>
            </w:pPr>
            <w:r>
              <w:rPr>
                <w:color w:val="000000"/>
              </w:rPr>
              <w:t>1. En los Formatos de los Indicadores de la MIR del Programa presupuestario se define que los indicadores a nivel de Componente sólo miden la dimensión de eficacia.</w:t>
            </w:r>
          </w:p>
        </w:tc>
        <w:tc>
          <w:tcPr>
            <w:tcW w:w="4002" w:type="dxa"/>
            <w:tcBorders>
              <w:top w:val="nil"/>
              <w:left w:val="nil"/>
              <w:bottom w:val="nil"/>
              <w:right w:val="single" w:sz="8" w:space="0" w:color="000000"/>
            </w:tcBorders>
            <w:shd w:val="clear" w:color="auto" w:fill="FFFFFF"/>
            <w:vAlign w:val="center"/>
          </w:tcPr>
          <w:p w14:paraId="66A29EA1" w14:textId="77777777" w:rsidR="006041CA" w:rsidRDefault="001271CC">
            <w:pPr>
              <w:spacing w:after="120" w:line="360" w:lineRule="auto"/>
              <w:rPr>
                <w:color w:val="000000"/>
              </w:rPr>
            </w:pPr>
            <w:r>
              <w:rPr>
                <w:color w:val="000000"/>
              </w:rPr>
              <w:t>2. Analizar la pertinencia de incluir en algún indicador a nivel de Componente la medición de las dimensiones de Eficacia y Calidad, esto de acuerdo con lo señalado en la Guía para el diseño de la Matriz de Indicadores para Resultados.</w:t>
            </w:r>
          </w:p>
        </w:tc>
        <w:tc>
          <w:tcPr>
            <w:tcW w:w="3016" w:type="dxa"/>
            <w:vMerge w:val="restart"/>
            <w:tcBorders>
              <w:top w:val="nil"/>
              <w:left w:val="single" w:sz="8" w:space="0" w:color="000000"/>
              <w:bottom w:val="single" w:sz="8" w:space="0" w:color="000000"/>
              <w:right w:val="single" w:sz="8" w:space="0" w:color="000000"/>
            </w:tcBorders>
            <w:shd w:val="clear" w:color="auto" w:fill="FFFFFF"/>
            <w:vAlign w:val="center"/>
          </w:tcPr>
          <w:p w14:paraId="07AC6ECB" w14:textId="77777777" w:rsidR="006041CA" w:rsidRDefault="001271CC">
            <w:pPr>
              <w:spacing w:after="120" w:line="360" w:lineRule="auto"/>
              <w:jc w:val="center"/>
              <w:rPr>
                <w:color w:val="000000"/>
              </w:rPr>
            </w:pPr>
            <w:r>
              <w:rPr>
                <w:color w:val="000000"/>
              </w:rPr>
              <w:t>No se especifican recomendaciones en este cruce de análisis.</w:t>
            </w:r>
          </w:p>
        </w:tc>
      </w:tr>
      <w:tr w:rsidR="006041CA" w14:paraId="4D6C17A5" w14:textId="77777777">
        <w:trPr>
          <w:trHeight w:val="1515"/>
        </w:trPr>
        <w:tc>
          <w:tcPr>
            <w:tcW w:w="2944" w:type="dxa"/>
            <w:tcBorders>
              <w:top w:val="nil"/>
              <w:left w:val="single" w:sz="8" w:space="0" w:color="000000"/>
              <w:bottom w:val="single" w:sz="8" w:space="0" w:color="000000"/>
              <w:right w:val="single" w:sz="8" w:space="0" w:color="000000"/>
            </w:tcBorders>
            <w:shd w:val="clear" w:color="auto" w:fill="auto"/>
            <w:vAlign w:val="center"/>
          </w:tcPr>
          <w:p w14:paraId="450C07BA" w14:textId="77777777" w:rsidR="006041CA" w:rsidRDefault="001271CC">
            <w:pPr>
              <w:spacing w:after="120" w:line="360" w:lineRule="auto"/>
              <w:rPr>
                <w:color w:val="000000"/>
              </w:rPr>
            </w:pPr>
            <w:r>
              <w:rPr>
                <w:color w:val="000000"/>
              </w:rPr>
              <w:t>2. No se define la temporalidad de la publicación de los medios de verificación de los indicadores a nivel de Componente del Programa presupuestario.</w:t>
            </w:r>
          </w:p>
        </w:tc>
        <w:tc>
          <w:tcPr>
            <w:tcW w:w="4002" w:type="dxa"/>
            <w:tcBorders>
              <w:top w:val="nil"/>
              <w:left w:val="nil"/>
              <w:bottom w:val="single" w:sz="8" w:space="0" w:color="000000"/>
              <w:right w:val="single" w:sz="8" w:space="0" w:color="000000"/>
            </w:tcBorders>
            <w:shd w:val="clear" w:color="auto" w:fill="FFFFFF"/>
            <w:vAlign w:val="center"/>
          </w:tcPr>
          <w:p w14:paraId="79913485" w14:textId="77777777" w:rsidR="006041CA" w:rsidRDefault="001271CC">
            <w:pPr>
              <w:spacing w:after="120" w:line="360" w:lineRule="auto"/>
              <w:rPr>
                <w:color w:val="000000"/>
              </w:rPr>
            </w:pPr>
            <w:r>
              <w:rPr>
                <w:color w:val="000000"/>
              </w:rPr>
              <w:t>3. Tomar en cuenta la información con la que se cuenta y definir en el Formato de la MIR del Programa "AE01 Educación Básica" la Temporalidad de los Medios de Verificación de los Indicadores a nivel de Componente.</w:t>
            </w:r>
          </w:p>
        </w:tc>
        <w:tc>
          <w:tcPr>
            <w:tcW w:w="3016" w:type="dxa"/>
            <w:vMerge/>
            <w:tcBorders>
              <w:top w:val="nil"/>
              <w:left w:val="single" w:sz="8" w:space="0" w:color="000000"/>
              <w:bottom w:val="single" w:sz="8" w:space="0" w:color="000000"/>
              <w:right w:val="single" w:sz="8" w:space="0" w:color="000000"/>
            </w:tcBorders>
            <w:shd w:val="clear" w:color="auto" w:fill="FFFFFF"/>
            <w:vAlign w:val="center"/>
          </w:tcPr>
          <w:p w14:paraId="5298DD3C" w14:textId="77777777" w:rsidR="006041CA" w:rsidRDefault="006041CA">
            <w:pPr>
              <w:widowControl w:val="0"/>
              <w:pBdr>
                <w:top w:val="nil"/>
                <w:left w:val="nil"/>
                <w:bottom w:val="nil"/>
                <w:right w:val="nil"/>
                <w:between w:val="nil"/>
              </w:pBdr>
              <w:spacing w:after="0" w:line="276" w:lineRule="auto"/>
              <w:rPr>
                <w:color w:val="000000"/>
              </w:rPr>
            </w:pPr>
          </w:p>
        </w:tc>
      </w:tr>
    </w:tbl>
    <w:p w14:paraId="46D3EE68" w14:textId="77777777" w:rsidR="006041CA" w:rsidRDefault="006041CA">
      <w:pPr>
        <w:spacing w:after="120" w:line="360" w:lineRule="auto"/>
      </w:pPr>
    </w:p>
    <w:p w14:paraId="4B6DE0F9" w14:textId="77777777" w:rsidR="006041CA" w:rsidRDefault="001271CC">
      <w:pPr>
        <w:spacing w:after="120" w:line="360" w:lineRule="auto"/>
      </w:pPr>
      <w:r>
        <w:br w:type="page"/>
      </w:r>
    </w:p>
    <w:tbl>
      <w:tblPr>
        <w:tblStyle w:val="a4"/>
        <w:tblW w:w="9962" w:type="dxa"/>
        <w:tblInd w:w="-10" w:type="dxa"/>
        <w:tblLayout w:type="fixed"/>
        <w:tblLook w:val="0400" w:firstRow="0" w:lastRow="0" w:firstColumn="0" w:lastColumn="0" w:noHBand="0" w:noVBand="1"/>
      </w:tblPr>
      <w:tblGrid>
        <w:gridCol w:w="3087"/>
        <w:gridCol w:w="3778"/>
        <w:gridCol w:w="3097"/>
      </w:tblGrid>
      <w:tr w:rsidR="006041CA" w14:paraId="6937947E" w14:textId="77777777">
        <w:trPr>
          <w:trHeight w:val="315"/>
        </w:trPr>
        <w:tc>
          <w:tcPr>
            <w:tcW w:w="9962"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515C9E73" w14:textId="77777777" w:rsidR="006041CA" w:rsidRDefault="001271CC">
            <w:pPr>
              <w:spacing w:after="120" w:line="360" w:lineRule="auto"/>
              <w:rPr>
                <w:b/>
                <w:color w:val="000000"/>
              </w:rPr>
            </w:pPr>
            <w:r>
              <w:rPr>
                <w:b/>
                <w:color w:val="000000"/>
              </w:rPr>
              <w:t>Matriz FODA: Presupuesto</w:t>
            </w:r>
          </w:p>
        </w:tc>
      </w:tr>
      <w:tr w:rsidR="006041CA" w14:paraId="04B41B33" w14:textId="77777777">
        <w:trPr>
          <w:trHeight w:val="300"/>
        </w:trPr>
        <w:tc>
          <w:tcPr>
            <w:tcW w:w="3087" w:type="dxa"/>
            <w:tcBorders>
              <w:top w:val="nil"/>
              <w:left w:val="single" w:sz="8" w:space="0" w:color="000000"/>
              <w:bottom w:val="nil"/>
              <w:right w:val="single" w:sz="8" w:space="0" w:color="000000"/>
            </w:tcBorders>
            <w:shd w:val="clear" w:color="auto" w:fill="6C0C4C"/>
            <w:vAlign w:val="center"/>
          </w:tcPr>
          <w:p w14:paraId="14488323" w14:textId="77777777" w:rsidR="006041CA" w:rsidRDefault="001271CC">
            <w:pPr>
              <w:spacing w:after="120" w:line="360" w:lineRule="auto"/>
              <w:jc w:val="right"/>
              <w:rPr>
                <w:b/>
                <w:color w:val="FFFFFF"/>
              </w:rPr>
            </w:pPr>
            <w:r>
              <w:rPr>
                <w:b/>
                <w:color w:val="FFFFFF"/>
              </w:rPr>
              <w:t>Factores internos</w:t>
            </w:r>
          </w:p>
        </w:tc>
        <w:tc>
          <w:tcPr>
            <w:tcW w:w="3778" w:type="dxa"/>
            <w:vMerge w:val="restart"/>
            <w:tcBorders>
              <w:top w:val="nil"/>
              <w:left w:val="single" w:sz="8" w:space="0" w:color="000000"/>
              <w:bottom w:val="single" w:sz="8" w:space="0" w:color="000000"/>
              <w:right w:val="single" w:sz="8" w:space="0" w:color="000000"/>
            </w:tcBorders>
            <w:shd w:val="clear" w:color="auto" w:fill="6C0C4C"/>
            <w:vAlign w:val="center"/>
          </w:tcPr>
          <w:p w14:paraId="3CDB95A1" w14:textId="77777777" w:rsidR="006041CA" w:rsidRDefault="001271CC">
            <w:pPr>
              <w:spacing w:after="120" w:line="360" w:lineRule="auto"/>
              <w:jc w:val="center"/>
              <w:rPr>
                <w:b/>
                <w:color w:val="FFFFFF"/>
              </w:rPr>
            </w:pPr>
            <w:r>
              <w:rPr>
                <w:b/>
                <w:color w:val="FFFFFF"/>
              </w:rPr>
              <w:t>Fortalezas</w:t>
            </w:r>
          </w:p>
        </w:tc>
        <w:tc>
          <w:tcPr>
            <w:tcW w:w="3097" w:type="dxa"/>
            <w:vMerge w:val="restart"/>
            <w:tcBorders>
              <w:top w:val="nil"/>
              <w:left w:val="single" w:sz="8" w:space="0" w:color="000000"/>
              <w:bottom w:val="single" w:sz="8" w:space="0" w:color="000000"/>
              <w:right w:val="single" w:sz="8" w:space="0" w:color="000000"/>
            </w:tcBorders>
            <w:shd w:val="clear" w:color="auto" w:fill="6C0C4C"/>
            <w:vAlign w:val="center"/>
          </w:tcPr>
          <w:p w14:paraId="4F081901" w14:textId="77777777" w:rsidR="006041CA" w:rsidRDefault="001271CC">
            <w:pPr>
              <w:spacing w:after="120" w:line="360" w:lineRule="auto"/>
              <w:jc w:val="center"/>
              <w:rPr>
                <w:b/>
                <w:color w:val="FFFFFF"/>
              </w:rPr>
            </w:pPr>
            <w:r>
              <w:rPr>
                <w:b/>
                <w:color w:val="FFFFFF"/>
              </w:rPr>
              <w:t>Debilidades</w:t>
            </w:r>
          </w:p>
        </w:tc>
      </w:tr>
      <w:tr w:rsidR="006041CA" w14:paraId="1EA4D7AC" w14:textId="77777777">
        <w:trPr>
          <w:trHeight w:val="300"/>
        </w:trPr>
        <w:tc>
          <w:tcPr>
            <w:tcW w:w="3087" w:type="dxa"/>
            <w:tcBorders>
              <w:top w:val="nil"/>
              <w:left w:val="single" w:sz="8" w:space="0" w:color="000000"/>
              <w:bottom w:val="nil"/>
              <w:right w:val="single" w:sz="8" w:space="0" w:color="000000"/>
            </w:tcBorders>
            <w:shd w:val="clear" w:color="auto" w:fill="6C0C4C"/>
            <w:vAlign w:val="center"/>
          </w:tcPr>
          <w:p w14:paraId="0C843338" w14:textId="77777777" w:rsidR="006041CA" w:rsidRDefault="001271CC">
            <w:pPr>
              <w:spacing w:after="120" w:line="360" w:lineRule="auto"/>
              <w:rPr>
                <w:b/>
                <w:color w:val="FFFFFF"/>
              </w:rPr>
            </w:pPr>
            <w:r>
              <w:rPr>
                <w:b/>
                <w:color w:val="FFFFFF"/>
              </w:rPr>
              <w:t> </w:t>
            </w:r>
          </w:p>
        </w:tc>
        <w:tc>
          <w:tcPr>
            <w:tcW w:w="3778" w:type="dxa"/>
            <w:vMerge/>
            <w:tcBorders>
              <w:top w:val="nil"/>
              <w:left w:val="single" w:sz="8" w:space="0" w:color="000000"/>
              <w:bottom w:val="single" w:sz="8" w:space="0" w:color="000000"/>
              <w:right w:val="single" w:sz="8" w:space="0" w:color="000000"/>
            </w:tcBorders>
            <w:shd w:val="clear" w:color="auto" w:fill="6C0C4C"/>
            <w:vAlign w:val="center"/>
          </w:tcPr>
          <w:p w14:paraId="46ADADF4" w14:textId="77777777" w:rsidR="006041CA" w:rsidRDefault="006041CA">
            <w:pPr>
              <w:widowControl w:val="0"/>
              <w:pBdr>
                <w:top w:val="nil"/>
                <w:left w:val="nil"/>
                <w:bottom w:val="nil"/>
                <w:right w:val="nil"/>
                <w:between w:val="nil"/>
              </w:pBdr>
              <w:spacing w:after="0" w:line="276" w:lineRule="auto"/>
              <w:rPr>
                <w:b/>
                <w:color w:val="FFFFFF"/>
              </w:rPr>
            </w:pPr>
          </w:p>
        </w:tc>
        <w:tc>
          <w:tcPr>
            <w:tcW w:w="3097" w:type="dxa"/>
            <w:vMerge/>
            <w:tcBorders>
              <w:top w:val="nil"/>
              <w:left w:val="single" w:sz="8" w:space="0" w:color="000000"/>
              <w:bottom w:val="single" w:sz="8" w:space="0" w:color="000000"/>
              <w:right w:val="single" w:sz="8" w:space="0" w:color="000000"/>
            </w:tcBorders>
            <w:shd w:val="clear" w:color="auto" w:fill="6C0C4C"/>
            <w:vAlign w:val="center"/>
          </w:tcPr>
          <w:p w14:paraId="0FF755D7" w14:textId="77777777" w:rsidR="006041CA" w:rsidRDefault="006041CA">
            <w:pPr>
              <w:widowControl w:val="0"/>
              <w:pBdr>
                <w:top w:val="nil"/>
                <w:left w:val="nil"/>
                <w:bottom w:val="nil"/>
                <w:right w:val="nil"/>
                <w:between w:val="nil"/>
              </w:pBdr>
              <w:spacing w:after="0" w:line="276" w:lineRule="auto"/>
              <w:rPr>
                <w:b/>
                <w:color w:val="FFFFFF"/>
              </w:rPr>
            </w:pPr>
          </w:p>
        </w:tc>
      </w:tr>
      <w:tr w:rsidR="006041CA" w14:paraId="1D4BC9F5" w14:textId="77777777">
        <w:trPr>
          <w:trHeight w:val="315"/>
        </w:trPr>
        <w:tc>
          <w:tcPr>
            <w:tcW w:w="3087" w:type="dxa"/>
            <w:tcBorders>
              <w:top w:val="nil"/>
              <w:left w:val="single" w:sz="8" w:space="0" w:color="000000"/>
              <w:bottom w:val="nil"/>
              <w:right w:val="single" w:sz="8" w:space="0" w:color="000000"/>
            </w:tcBorders>
            <w:shd w:val="clear" w:color="auto" w:fill="6C0C4C"/>
            <w:vAlign w:val="center"/>
          </w:tcPr>
          <w:p w14:paraId="34F2AEA9" w14:textId="77777777" w:rsidR="006041CA" w:rsidRDefault="001271CC">
            <w:pPr>
              <w:spacing w:after="120" w:line="360" w:lineRule="auto"/>
              <w:rPr>
                <w:b/>
                <w:color w:val="FFFFFF"/>
              </w:rPr>
            </w:pPr>
            <w:r>
              <w:rPr>
                <w:b/>
                <w:color w:val="FFFFFF"/>
              </w:rPr>
              <w:t> </w:t>
            </w:r>
          </w:p>
        </w:tc>
        <w:tc>
          <w:tcPr>
            <w:tcW w:w="3778" w:type="dxa"/>
            <w:vMerge/>
            <w:tcBorders>
              <w:top w:val="nil"/>
              <w:left w:val="single" w:sz="8" w:space="0" w:color="000000"/>
              <w:bottom w:val="single" w:sz="8" w:space="0" w:color="000000"/>
              <w:right w:val="single" w:sz="8" w:space="0" w:color="000000"/>
            </w:tcBorders>
            <w:shd w:val="clear" w:color="auto" w:fill="6C0C4C"/>
            <w:vAlign w:val="center"/>
          </w:tcPr>
          <w:p w14:paraId="5D2366AE" w14:textId="77777777" w:rsidR="006041CA" w:rsidRDefault="006041CA">
            <w:pPr>
              <w:widowControl w:val="0"/>
              <w:pBdr>
                <w:top w:val="nil"/>
                <w:left w:val="nil"/>
                <w:bottom w:val="nil"/>
                <w:right w:val="nil"/>
                <w:between w:val="nil"/>
              </w:pBdr>
              <w:spacing w:after="0" w:line="276" w:lineRule="auto"/>
              <w:rPr>
                <w:b/>
                <w:color w:val="FFFFFF"/>
              </w:rPr>
            </w:pPr>
          </w:p>
        </w:tc>
        <w:tc>
          <w:tcPr>
            <w:tcW w:w="3097" w:type="dxa"/>
            <w:vMerge/>
            <w:tcBorders>
              <w:top w:val="nil"/>
              <w:left w:val="single" w:sz="8" w:space="0" w:color="000000"/>
              <w:bottom w:val="single" w:sz="8" w:space="0" w:color="000000"/>
              <w:right w:val="single" w:sz="8" w:space="0" w:color="000000"/>
            </w:tcBorders>
            <w:shd w:val="clear" w:color="auto" w:fill="6C0C4C"/>
            <w:vAlign w:val="center"/>
          </w:tcPr>
          <w:p w14:paraId="32270085" w14:textId="77777777" w:rsidR="006041CA" w:rsidRDefault="006041CA">
            <w:pPr>
              <w:widowControl w:val="0"/>
              <w:pBdr>
                <w:top w:val="nil"/>
                <w:left w:val="nil"/>
                <w:bottom w:val="nil"/>
                <w:right w:val="nil"/>
                <w:between w:val="nil"/>
              </w:pBdr>
              <w:spacing w:after="0" w:line="276" w:lineRule="auto"/>
              <w:rPr>
                <w:b/>
                <w:color w:val="FFFFFF"/>
              </w:rPr>
            </w:pPr>
          </w:p>
        </w:tc>
      </w:tr>
      <w:tr w:rsidR="006041CA" w14:paraId="00D1E016" w14:textId="77777777">
        <w:trPr>
          <w:trHeight w:val="615"/>
        </w:trPr>
        <w:tc>
          <w:tcPr>
            <w:tcW w:w="3087" w:type="dxa"/>
            <w:tcBorders>
              <w:top w:val="nil"/>
              <w:left w:val="single" w:sz="8" w:space="0" w:color="000000"/>
              <w:bottom w:val="nil"/>
              <w:right w:val="single" w:sz="8" w:space="0" w:color="000000"/>
            </w:tcBorders>
            <w:shd w:val="clear" w:color="auto" w:fill="6C0C4C"/>
            <w:vAlign w:val="center"/>
          </w:tcPr>
          <w:p w14:paraId="7F8F7519" w14:textId="77777777" w:rsidR="006041CA" w:rsidRDefault="001271CC">
            <w:pPr>
              <w:spacing w:after="120" w:line="360" w:lineRule="auto"/>
              <w:rPr>
                <w:b/>
                <w:color w:val="FFFFFF"/>
              </w:rPr>
            </w:pPr>
            <w:r>
              <w:rPr>
                <w:b/>
                <w:color w:val="FFFFFF"/>
              </w:rPr>
              <w:t> </w:t>
            </w:r>
          </w:p>
        </w:tc>
        <w:tc>
          <w:tcPr>
            <w:tcW w:w="3778" w:type="dxa"/>
            <w:tcBorders>
              <w:top w:val="nil"/>
              <w:left w:val="nil"/>
              <w:bottom w:val="single" w:sz="8" w:space="0" w:color="000000"/>
              <w:right w:val="single" w:sz="8" w:space="0" w:color="000000"/>
            </w:tcBorders>
            <w:shd w:val="clear" w:color="auto" w:fill="auto"/>
            <w:vAlign w:val="center"/>
          </w:tcPr>
          <w:p w14:paraId="3D8C29A8" w14:textId="77777777" w:rsidR="006041CA" w:rsidRDefault="001271CC">
            <w:pPr>
              <w:spacing w:after="120" w:line="360" w:lineRule="auto"/>
              <w:rPr>
                <w:color w:val="000000"/>
              </w:rPr>
            </w:pPr>
            <w:r>
              <w:rPr>
                <w:color w:val="000000"/>
              </w:rPr>
              <w:t>1. Se pagó el 99.9% del recurso ministrado para el ejercicio fiscal 2023.</w:t>
            </w:r>
          </w:p>
        </w:tc>
        <w:tc>
          <w:tcPr>
            <w:tcW w:w="3097" w:type="dxa"/>
            <w:vMerge w:val="restart"/>
            <w:tcBorders>
              <w:top w:val="nil"/>
              <w:left w:val="single" w:sz="8" w:space="0" w:color="000000"/>
              <w:bottom w:val="single" w:sz="8" w:space="0" w:color="000000"/>
              <w:right w:val="single" w:sz="8" w:space="0" w:color="000000"/>
            </w:tcBorders>
            <w:shd w:val="clear" w:color="auto" w:fill="auto"/>
            <w:vAlign w:val="center"/>
          </w:tcPr>
          <w:p w14:paraId="4526E953" w14:textId="77777777" w:rsidR="006041CA" w:rsidRDefault="001271CC">
            <w:pPr>
              <w:spacing w:after="120" w:line="360" w:lineRule="auto"/>
              <w:jc w:val="center"/>
              <w:rPr>
                <w:color w:val="000000"/>
              </w:rPr>
            </w:pPr>
            <w:r>
              <w:rPr>
                <w:color w:val="000000"/>
              </w:rPr>
              <w:t>No se identifican Debilidades.</w:t>
            </w:r>
          </w:p>
        </w:tc>
      </w:tr>
      <w:tr w:rsidR="006041CA" w14:paraId="4C526FC8" w14:textId="77777777">
        <w:trPr>
          <w:trHeight w:val="915"/>
        </w:trPr>
        <w:tc>
          <w:tcPr>
            <w:tcW w:w="3087" w:type="dxa"/>
            <w:tcBorders>
              <w:top w:val="nil"/>
              <w:left w:val="single" w:sz="8" w:space="0" w:color="000000"/>
              <w:bottom w:val="nil"/>
              <w:right w:val="single" w:sz="8" w:space="0" w:color="000000"/>
            </w:tcBorders>
            <w:shd w:val="clear" w:color="auto" w:fill="6C0C4C"/>
            <w:vAlign w:val="center"/>
          </w:tcPr>
          <w:p w14:paraId="0E8E51AF" w14:textId="77777777" w:rsidR="006041CA" w:rsidRDefault="001271CC">
            <w:pPr>
              <w:spacing w:after="120" w:line="360" w:lineRule="auto"/>
              <w:rPr>
                <w:b/>
                <w:color w:val="FFFFFF"/>
              </w:rPr>
            </w:pPr>
            <w:r>
              <w:rPr>
                <w:b/>
                <w:color w:val="FFFFFF"/>
              </w:rPr>
              <w:t> </w:t>
            </w:r>
          </w:p>
        </w:tc>
        <w:tc>
          <w:tcPr>
            <w:tcW w:w="3778" w:type="dxa"/>
            <w:tcBorders>
              <w:top w:val="nil"/>
              <w:left w:val="nil"/>
              <w:bottom w:val="single" w:sz="8" w:space="0" w:color="000000"/>
              <w:right w:val="single" w:sz="8" w:space="0" w:color="000000"/>
            </w:tcBorders>
            <w:shd w:val="clear" w:color="auto" w:fill="auto"/>
            <w:vAlign w:val="center"/>
          </w:tcPr>
          <w:p w14:paraId="04E06811" w14:textId="77777777" w:rsidR="006041CA" w:rsidRDefault="001271CC">
            <w:pPr>
              <w:spacing w:after="120" w:line="360" w:lineRule="auto"/>
              <w:rPr>
                <w:color w:val="000000"/>
              </w:rPr>
            </w:pPr>
            <w:r>
              <w:rPr>
                <w:color w:val="000000"/>
              </w:rPr>
              <w:t>2. Se presenta un aumento del recurso ministrado nominal durante el periodo 2021-2023.</w:t>
            </w:r>
          </w:p>
        </w:tc>
        <w:tc>
          <w:tcPr>
            <w:tcW w:w="3097" w:type="dxa"/>
            <w:vMerge/>
            <w:tcBorders>
              <w:top w:val="nil"/>
              <w:left w:val="single" w:sz="8" w:space="0" w:color="000000"/>
              <w:bottom w:val="single" w:sz="8" w:space="0" w:color="000000"/>
              <w:right w:val="single" w:sz="8" w:space="0" w:color="000000"/>
            </w:tcBorders>
            <w:shd w:val="clear" w:color="auto" w:fill="auto"/>
            <w:vAlign w:val="center"/>
          </w:tcPr>
          <w:p w14:paraId="300509B7" w14:textId="77777777" w:rsidR="006041CA" w:rsidRDefault="006041CA">
            <w:pPr>
              <w:widowControl w:val="0"/>
              <w:pBdr>
                <w:top w:val="nil"/>
                <w:left w:val="nil"/>
                <w:bottom w:val="nil"/>
                <w:right w:val="nil"/>
                <w:between w:val="nil"/>
              </w:pBdr>
              <w:spacing w:after="0" w:line="276" w:lineRule="auto"/>
              <w:rPr>
                <w:color w:val="000000"/>
              </w:rPr>
            </w:pPr>
          </w:p>
        </w:tc>
      </w:tr>
      <w:tr w:rsidR="006041CA" w14:paraId="1C44138F" w14:textId="77777777">
        <w:trPr>
          <w:trHeight w:val="915"/>
        </w:trPr>
        <w:tc>
          <w:tcPr>
            <w:tcW w:w="3087" w:type="dxa"/>
            <w:tcBorders>
              <w:top w:val="nil"/>
              <w:left w:val="single" w:sz="8" w:space="0" w:color="000000"/>
              <w:bottom w:val="nil"/>
              <w:right w:val="single" w:sz="8" w:space="0" w:color="000000"/>
            </w:tcBorders>
            <w:shd w:val="clear" w:color="auto" w:fill="6C0C4C"/>
            <w:vAlign w:val="center"/>
          </w:tcPr>
          <w:p w14:paraId="119739FE" w14:textId="77777777" w:rsidR="006041CA" w:rsidRDefault="001271CC">
            <w:pPr>
              <w:spacing w:after="120" w:line="360" w:lineRule="auto"/>
              <w:rPr>
                <w:b/>
                <w:color w:val="FFFFFF"/>
              </w:rPr>
            </w:pPr>
            <w:r>
              <w:rPr>
                <w:b/>
                <w:color w:val="FFFFFF"/>
              </w:rPr>
              <w:t> </w:t>
            </w:r>
          </w:p>
        </w:tc>
        <w:tc>
          <w:tcPr>
            <w:tcW w:w="3778" w:type="dxa"/>
            <w:tcBorders>
              <w:top w:val="nil"/>
              <w:left w:val="nil"/>
              <w:bottom w:val="single" w:sz="8" w:space="0" w:color="000000"/>
              <w:right w:val="single" w:sz="8" w:space="0" w:color="000000"/>
            </w:tcBorders>
            <w:shd w:val="clear" w:color="auto" w:fill="auto"/>
            <w:vAlign w:val="center"/>
          </w:tcPr>
          <w:p w14:paraId="71987779" w14:textId="77777777" w:rsidR="006041CA" w:rsidRDefault="001271CC">
            <w:pPr>
              <w:spacing w:after="120" w:line="360" w:lineRule="auto"/>
              <w:rPr>
                <w:color w:val="000000"/>
              </w:rPr>
            </w:pPr>
            <w:r>
              <w:rPr>
                <w:color w:val="000000"/>
              </w:rPr>
              <w:t>3. Se identifica un aumento del recurso ministrado real del ejercicio fiscal 2023 con respecto al 2022.</w:t>
            </w:r>
          </w:p>
        </w:tc>
        <w:tc>
          <w:tcPr>
            <w:tcW w:w="3097" w:type="dxa"/>
            <w:vMerge/>
            <w:tcBorders>
              <w:top w:val="nil"/>
              <w:left w:val="single" w:sz="8" w:space="0" w:color="000000"/>
              <w:bottom w:val="single" w:sz="8" w:space="0" w:color="000000"/>
              <w:right w:val="single" w:sz="8" w:space="0" w:color="000000"/>
            </w:tcBorders>
            <w:shd w:val="clear" w:color="auto" w:fill="auto"/>
            <w:vAlign w:val="center"/>
          </w:tcPr>
          <w:p w14:paraId="012C51A0" w14:textId="77777777" w:rsidR="006041CA" w:rsidRDefault="006041CA">
            <w:pPr>
              <w:widowControl w:val="0"/>
              <w:pBdr>
                <w:top w:val="nil"/>
                <w:left w:val="nil"/>
                <w:bottom w:val="nil"/>
                <w:right w:val="nil"/>
                <w:between w:val="nil"/>
              </w:pBdr>
              <w:spacing w:after="0" w:line="276" w:lineRule="auto"/>
              <w:rPr>
                <w:color w:val="000000"/>
              </w:rPr>
            </w:pPr>
          </w:p>
        </w:tc>
      </w:tr>
      <w:tr w:rsidR="006041CA" w14:paraId="5B0FB5C3" w14:textId="77777777">
        <w:trPr>
          <w:trHeight w:val="1215"/>
        </w:trPr>
        <w:tc>
          <w:tcPr>
            <w:tcW w:w="3087" w:type="dxa"/>
            <w:tcBorders>
              <w:top w:val="nil"/>
              <w:left w:val="single" w:sz="8" w:space="0" w:color="000000"/>
              <w:bottom w:val="single" w:sz="8" w:space="0" w:color="000000"/>
              <w:right w:val="single" w:sz="8" w:space="0" w:color="000000"/>
            </w:tcBorders>
            <w:shd w:val="clear" w:color="auto" w:fill="6C0C4C"/>
            <w:vAlign w:val="center"/>
          </w:tcPr>
          <w:p w14:paraId="7AAF23C6" w14:textId="77777777" w:rsidR="006041CA" w:rsidRDefault="001271CC">
            <w:pPr>
              <w:spacing w:after="120" w:line="360" w:lineRule="auto"/>
              <w:rPr>
                <w:b/>
                <w:color w:val="FFFFFF"/>
              </w:rPr>
            </w:pPr>
            <w:r>
              <w:rPr>
                <w:b/>
                <w:color w:val="FFFFFF"/>
              </w:rPr>
              <w:t>Factores externos</w:t>
            </w:r>
          </w:p>
        </w:tc>
        <w:tc>
          <w:tcPr>
            <w:tcW w:w="3778" w:type="dxa"/>
            <w:tcBorders>
              <w:top w:val="nil"/>
              <w:left w:val="nil"/>
              <w:bottom w:val="single" w:sz="8" w:space="0" w:color="000000"/>
              <w:right w:val="single" w:sz="8" w:space="0" w:color="000000"/>
            </w:tcBorders>
            <w:shd w:val="clear" w:color="auto" w:fill="auto"/>
            <w:vAlign w:val="center"/>
          </w:tcPr>
          <w:p w14:paraId="2BFC4B92" w14:textId="77777777" w:rsidR="006041CA" w:rsidRDefault="001271CC">
            <w:pPr>
              <w:spacing w:after="120" w:line="360" w:lineRule="auto"/>
              <w:rPr>
                <w:color w:val="000000"/>
              </w:rPr>
            </w:pPr>
            <w:r>
              <w:rPr>
                <w:color w:val="000000"/>
              </w:rPr>
              <w:t>4. El ejercicio de los recursos del FONE se apegan a la normatividad aplicable y presenta congruencia con los Componentes de la MIR del Pp.</w:t>
            </w:r>
          </w:p>
        </w:tc>
        <w:tc>
          <w:tcPr>
            <w:tcW w:w="3097" w:type="dxa"/>
            <w:vMerge/>
            <w:tcBorders>
              <w:top w:val="nil"/>
              <w:left w:val="single" w:sz="8" w:space="0" w:color="000000"/>
              <w:bottom w:val="single" w:sz="8" w:space="0" w:color="000000"/>
              <w:right w:val="single" w:sz="8" w:space="0" w:color="000000"/>
            </w:tcBorders>
            <w:shd w:val="clear" w:color="auto" w:fill="auto"/>
            <w:vAlign w:val="center"/>
          </w:tcPr>
          <w:p w14:paraId="08EBD9D0" w14:textId="77777777" w:rsidR="006041CA" w:rsidRDefault="006041CA">
            <w:pPr>
              <w:widowControl w:val="0"/>
              <w:pBdr>
                <w:top w:val="nil"/>
                <w:left w:val="nil"/>
                <w:bottom w:val="nil"/>
                <w:right w:val="nil"/>
                <w:between w:val="nil"/>
              </w:pBdr>
              <w:spacing w:after="0" w:line="276" w:lineRule="auto"/>
              <w:rPr>
                <w:color w:val="000000"/>
              </w:rPr>
            </w:pPr>
          </w:p>
        </w:tc>
      </w:tr>
      <w:tr w:rsidR="006041CA" w14:paraId="5849AA59" w14:textId="77777777">
        <w:trPr>
          <w:trHeight w:val="315"/>
        </w:trPr>
        <w:tc>
          <w:tcPr>
            <w:tcW w:w="3087" w:type="dxa"/>
            <w:tcBorders>
              <w:top w:val="nil"/>
              <w:left w:val="single" w:sz="8" w:space="0" w:color="000000"/>
              <w:bottom w:val="single" w:sz="8" w:space="0" w:color="000000"/>
              <w:right w:val="single" w:sz="8" w:space="0" w:color="000000"/>
            </w:tcBorders>
            <w:shd w:val="clear" w:color="auto" w:fill="6C0C4C"/>
            <w:vAlign w:val="center"/>
          </w:tcPr>
          <w:p w14:paraId="04BCD256" w14:textId="77777777" w:rsidR="006041CA" w:rsidRDefault="001271CC">
            <w:pPr>
              <w:spacing w:after="120" w:line="360" w:lineRule="auto"/>
              <w:jc w:val="center"/>
              <w:rPr>
                <w:b/>
                <w:color w:val="FFFFFF"/>
              </w:rPr>
            </w:pPr>
            <w:r>
              <w:rPr>
                <w:b/>
                <w:color w:val="FFFFFF"/>
              </w:rPr>
              <w:t>Oportunidades</w:t>
            </w:r>
          </w:p>
        </w:tc>
        <w:tc>
          <w:tcPr>
            <w:tcW w:w="3778" w:type="dxa"/>
            <w:vMerge w:val="restart"/>
            <w:tcBorders>
              <w:top w:val="nil"/>
              <w:left w:val="single" w:sz="8" w:space="0" w:color="000000"/>
              <w:bottom w:val="single" w:sz="8" w:space="0" w:color="000000"/>
              <w:right w:val="single" w:sz="8" w:space="0" w:color="000000"/>
            </w:tcBorders>
            <w:shd w:val="clear" w:color="auto" w:fill="FFC4D4"/>
            <w:vAlign w:val="center"/>
          </w:tcPr>
          <w:p w14:paraId="5ADDCE36" w14:textId="77777777" w:rsidR="006041CA" w:rsidRDefault="001271CC">
            <w:pPr>
              <w:spacing w:after="120" w:line="360" w:lineRule="auto"/>
              <w:jc w:val="center"/>
              <w:rPr>
                <w:color w:val="000000"/>
              </w:rPr>
            </w:pPr>
            <w:r>
              <w:rPr>
                <w:color w:val="000000"/>
              </w:rPr>
              <w:t>FO: No aplican recomendaciones; sin embargo, la institución sí debe identificar estrategias en donde, mediante las fortalezas internas, se aproveche la ventaja de las oportunidades externas.</w:t>
            </w:r>
          </w:p>
        </w:tc>
        <w:tc>
          <w:tcPr>
            <w:tcW w:w="3097" w:type="dxa"/>
            <w:tcBorders>
              <w:top w:val="nil"/>
              <w:left w:val="nil"/>
              <w:bottom w:val="single" w:sz="8" w:space="0" w:color="000000"/>
              <w:right w:val="single" w:sz="8" w:space="0" w:color="000000"/>
            </w:tcBorders>
            <w:shd w:val="clear" w:color="auto" w:fill="6C0C4C"/>
            <w:vAlign w:val="center"/>
          </w:tcPr>
          <w:p w14:paraId="0A3CC476" w14:textId="77777777" w:rsidR="006041CA" w:rsidRDefault="001271CC">
            <w:pPr>
              <w:spacing w:after="120" w:line="360" w:lineRule="auto"/>
              <w:jc w:val="center"/>
              <w:rPr>
                <w:b/>
                <w:color w:val="FFFFFF"/>
              </w:rPr>
            </w:pPr>
            <w:r>
              <w:rPr>
                <w:b/>
                <w:color w:val="FFFFFF"/>
              </w:rPr>
              <w:t>Recomendaciones DO:</w:t>
            </w:r>
          </w:p>
        </w:tc>
      </w:tr>
      <w:tr w:rsidR="006041CA" w14:paraId="70A61410" w14:textId="77777777">
        <w:trPr>
          <w:trHeight w:val="523"/>
        </w:trPr>
        <w:tc>
          <w:tcPr>
            <w:tcW w:w="3087" w:type="dxa"/>
            <w:vMerge w:val="restart"/>
            <w:tcBorders>
              <w:top w:val="nil"/>
              <w:left w:val="single" w:sz="8" w:space="0" w:color="000000"/>
              <w:bottom w:val="single" w:sz="8" w:space="0" w:color="000000"/>
              <w:right w:val="single" w:sz="8" w:space="0" w:color="000000"/>
            </w:tcBorders>
            <w:shd w:val="clear" w:color="auto" w:fill="auto"/>
            <w:vAlign w:val="center"/>
          </w:tcPr>
          <w:p w14:paraId="1D18FD1D" w14:textId="77777777" w:rsidR="006041CA" w:rsidRDefault="001271CC">
            <w:pPr>
              <w:spacing w:after="120" w:line="360" w:lineRule="auto"/>
              <w:jc w:val="center"/>
              <w:rPr>
                <w:color w:val="000000"/>
              </w:rPr>
            </w:pPr>
            <w:r>
              <w:rPr>
                <w:color w:val="000000"/>
              </w:rPr>
              <w:t>No se identifican Oportunidades.</w:t>
            </w:r>
          </w:p>
        </w:tc>
        <w:tc>
          <w:tcPr>
            <w:tcW w:w="3778" w:type="dxa"/>
            <w:vMerge/>
            <w:tcBorders>
              <w:top w:val="nil"/>
              <w:left w:val="single" w:sz="8" w:space="0" w:color="000000"/>
              <w:bottom w:val="single" w:sz="8" w:space="0" w:color="000000"/>
              <w:right w:val="single" w:sz="8" w:space="0" w:color="000000"/>
            </w:tcBorders>
            <w:shd w:val="clear" w:color="auto" w:fill="FFC4D4"/>
            <w:vAlign w:val="center"/>
          </w:tcPr>
          <w:p w14:paraId="62B300C6" w14:textId="77777777" w:rsidR="006041CA" w:rsidRDefault="006041CA">
            <w:pPr>
              <w:widowControl w:val="0"/>
              <w:pBdr>
                <w:top w:val="nil"/>
                <w:left w:val="nil"/>
                <w:bottom w:val="nil"/>
                <w:right w:val="nil"/>
                <w:between w:val="nil"/>
              </w:pBdr>
              <w:spacing w:after="0" w:line="276" w:lineRule="auto"/>
              <w:rPr>
                <w:color w:val="000000"/>
              </w:rPr>
            </w:pPr>
          </w:p>
        </w:tc>
        <w:tc>
          <w:tcPr>
            <w:tcW w:w="3097" w:type="dxa"/>
            <w:vMerge w:val="restart"/>
            <w:tcBorders>
              <w:top w:val="nil"/>
              <w:left w:val="single" w:sz="8" w:space="0" w:color="000000"/>
              <w:bottom w:val="single" w:sz="8" w:space="0" w:color="000000"/>
              <w:right w:val="single" w:sz="8" w:space="0" w:color="000000"/>
            </w:tcBorders>
            <w:shd w:val="clear" w:color="auto" w:fill="FFFFFF"/>
            <w:vAlign w:val="center"/>
          </w:tcPr>
          <w:p w14:paraId="08319176" w14:textId="77777777" w:rsidR="006041CA" w:rsidRDefault="001271CC">
            <w:pPr>
              <w:spacing w:after="120" w:line="360" w:lineRule="auto"/>
              <w:jc w:val="center"/>
              <w:rPr>
                <w:color w:val="000000"/>
              </w:rPr>
            </w:pPr>
            <w:r>
              <w:rPr>
                <w:color w:val="000000"/>
              </w:rPr>
              <w:t>No se especifican recomendaciones en este cruce de análisis.</w:t>
            </w:r>
          </w:p>
        </w:tc>
      </w:tr>
      <w:tr w:rsidR="006041CA" w14:paraId="4EEEA7AE" w14:textId="77777777">
        <w:trPr>
          <w:trHeight w:val="523"/>
        </w:trPr>
        <w:tc>
          <w:tcPr>
            <w:tcW w:w="3087" w:type="dxa"/>
            <w:vMerge/>
            <w:tcBorders>
              <w:top w:val="nil"/>
              <w:left w:val="single" w:sz="8" w:space="0" w:color="000000"/>
              <w:bottom w:val="single" w:sz="8" w:space="0" w:color="000000"/>
              <w:right w:val="single" w:sz="8" w:space="0" w:color="000000"/>
            </w:tcBorders>
            <w:shd w:val="clear" w:color="auto" w:fill="auto"/>
            <w:vAlign w:val="center"/>
          </w:tcPr>
          <w:p w14:paraId="2E5C8C7F" w14:textId="77777777" w:rsidR="006041CA" w:rsidRDefault="006041CA">
            <w:pPr>
              <w:widowControl w:val="0"/>
              <w:pBdr>
                <w:top w:val="nil"/>
                <w:left w:val="nil"/>
                <w:bottom w:val="nil"/>
                <w:right w:val="nil"/>
                <w:between w:val="nil"/>
              </w:pBdr>
              <w:spacing w:after="0" w:line="276" w:lineRule="auto"/>
              <w:rPr>
                <w:color w:val="000000"/>
              </w:rPr>
            </w:pPr>
          </w:p>
        </w:tc>
        <w:tc>
          <w:tcPr>
            <w:tcW w:w="3778" w:type="dxa"/>
            <w:vMerge/>
            <w:tcBorders>
              <w:top w:val="nil"/>
              <w:left w:val="single" w:sz="8" w:space="0" w:color="000000"/>
              <w:bottom w:val="single" w:sz="8" w:space="0" w:color="000000"/>
              <w:right w:val="single" w:sz="8" w:space="0" w:color="000000"/>
            </w:tcBorders>
            <w:shd w:val="clear" w:color="auto" w:fill="FFC4D4"/>
            <w:vAlign w:val="center"/>
          </w:tcPr>
          <w:p w14:paraId="2F86A028" w14:textId="77777777" w:rsidR="006041CA" w:rsidRDefault="006041CA">
            <w:pPr>
              <w:widowControl w:val="0"/>
              <w:pBdr>
                <w:top w:val="nil"/>
                <w:left w:val="nil"/>
                <w:bottom w:val="nil"/>
                <w:right w:val="nil"/>
                <w:between w:val="nil"/>
              </w:pBdr>
              <w:spacing w:after="0" w:line="276" w:lineRule="auto"/>
              <w:rPr>
                <w:color w:val="000000"/>
              </w:rPr>
            </w:pPr>
          </w:p>
        </w:tc>
        <w:tc>
          <w:tcPr>
            <w:tcW w:w="3097" w:type="dxa"/>
            <w:vMerge/>
            <w:tcBorders>
              <w:top w:val="nil"/>
              <w:left w:val="single" w:sz="8" w:space="0" w:color="000000"/>
              <w:bottom w:val="single" w:sz="8" w:space="0" w:color="000000"/>
              <w:right w:val="single" w:sz="8" w:space="0" w:color="000000"/>
            </w:tcBorders>
            <w:shd w:val="clear" w:color="auto" w:fill="FFFFFF"/>
            <w:vAlign w:val="center"/>
          </w:tcPr>
          <w:p w14:paraId="5ABAE4F6" w14:textId="77777777" w:rsidR="006041CA" w:rsidRDefault="006041CA">
            <w:pPr>
              <w:widowControl w:val="0"/>
              <w:pBdr>
                <w:top w:val="nil"/>
                <w:left w:val="nil"/>
                <w:bottom w:val="nil"/>
                <w:right w:val="nil"/>
                <w:between w:val="nil"/>
              </w:pBdr>
              <w:spacing w:after="0" w:line="276" w:lineRule="auto"/>
              <w:rPr>
                <w:color w:val="000000"/>
              </w:rPr>
            </w:pPr>
          </w:p>
        </w:tc>
      </w:tr>
      <w:tr w:rsidR="006041CA" w14:paraId="5AF5F830" w14:textId="77777777">
        <w:trPr>
          <w:trHeight w:val="315"/>
        </w:trPr>
        <w:tc>
          <w:tcPr>
            <w:tcW w:w="3087" w:type="dxa"/>
            <w:tcBorders>
              <w:top w:val="nil"/>
              <w:left w:val="single" w:sz="8" w:space="0" w:color="000000"/>
              <w:bottom w:val="single" w:sz="8" w:space="0" w:color="000000"/>
              <w:right w:val="single" w:sz="8" w:space="0" w:color="000000"/>
            </w:tcBorders>
            <w:shd w:val="clear" w:color="auto" w:fill="6C0C4C"/>
            <w:vAlign w:val="center"/>
          </w:tcPr>
          <w:p w14:paraId="34A390C8" w14:textId="77777777" w:rsidR="006041CA" w:rsidRDefault="001271CC">
            <w:pPr>
              <w:spacing w:after="120" w:line="360" w:lineRule="auto"/>
              <w:jc w:val="center"/>
              <w:rPr>
                <w:b/>
                <w:color w:val="FFFFFF"/>
              </w:rPr>
            </w:pPr>
            <w:r>
              <w:rPr>
                <w:b/>
                <w:color w:val="FFFFFF"/>
              </w:rPr>
              <w:t>Amenazas</w:t>
            </w:r>
          </w:p>
        </w:tc>
        <w:tc>
          <w:tcPr>
            <w:tcW w:w="3778" w:type="dxa"/>
            <w:tcBorders>
              <w:top w:val="nil"/>
              <w:left w:val="nil"/>
              <w:bottom w:val="single" w:sz="8" w:space="0" w:color="000000"/>
              <w:right w:val="single" w:sz="8" w:space="0" w:color="000000"/>
            </w:tcBorders>
            <w:shd w:val="clear" w:color="auto" w:fill="6C0C4C"/>
            <w:vAlign w:val="center"/>
          </w:tcPr>
          <w:p w14:paraId="01F628F1" w14:textId="77777777" w:rsidR="006041CA" w:rsidRDefault="001271CC">
            <w:pPr>
              <w:spacing w:after="120" w:line="360" w:lineRule="auto"/>
              <w:jc w:val="center"/>
              <w:rPr>
                <w:b/>
                <w:color w:val="FFFFFF"/>
              </w:rPr>
            </w:pPr>
            <w:r>
              <w:rPr>
                <w:b/>
                <w:color w:val="FFFFFF"/>
              </w:rPr>
              <w:t>Recomendaciones FA:</w:t>
            </w:r>
          </w:p>
        </w:tc>
        <w:tc>
          <w:tcPr>
            <w:tcW w:w="3097" w:type="dxa"/>
            <w:tcBorders>
              <w:top w:val="nil"/>
              <w:left w:val="nil"/>
              <w:bottom w:val="single" w:sz="8" w:space="0" w:color="000000"/>
              <w:right w:val="single" w:sz="8" w:space="0" w:color="000000"/>
            </w:tcBorders>
            <w:shd w:val="clear" w:color="auto" w:fill="6C0C4C"/>
            <w:vAlign w:val="center"/>
          </w:tcPr>
          <w:p w14:paraId="5B8D68AF" w14:textId="77777777" w:rsidR="006041CA" w:rsidRDefault="001271CC">
            <w:pPr>
              <w:spacing w:after="120" w:line="360" w:lineRule="auto"/>
              <w:jc w:val="center"/>
              <w:rPr>
                <w:b/>
                <w:color w:val="FFFFFF"/>
              </w:rPr>
            </w:pPr>
            <w:r>
              <w:rPr>
                <w:b/>
                <w:color w:val="FFFFFF"/>
              </w:rPr>
              <w:t>Recomendaciones DA:</w:t>
            </w:r>
          </w:p>
        </w:tc>
      </w:tr>
      <w:tr w:rsidR="006041CA" w14:paraId="465B5241" w14:textId="77777777">
        <w:trPr>
          <w:trHeight w:val="523"/>
        </w:trPr>
        <w:tc>
          <w:tcPr>
            <w:tcW w:w="3087" w:type="dxa"/>
            <w:vMerge w:val="restart"/>
            <w:tcBorders>
              <w:top w:val="nil"/>
              <w:left w:val="single" w:sz="8" w:space="0" w:color="000000"/>
              <w:bottom w:val="single" w:sz="8" w:space="0" w:color="000000"/>
              <w:right w:val="single" w:sz="8" w:space="0" w:color="000000"/>
            </w:tcBorders>
            <w:shd w:val="clear" w:color="auto" w:fill="FFFFFF"/>
            <w:vAlign w:val="center"/>
          </w:tcPr>
          <w:p w14:paraId="293F2886" w14:textId="77777777" w:rsidR="006041CA" w:rsidRDefault="001271CC">
            <w:pPr>
              <w:spacing w:after="120" w:line="360" w:lineRule="auto"/>
              <w:jc w:val="center"/>
              <w:rPr>
                <w:color w:val="000000"/>
              </w:rPr>
            </w:pPr>
            <w:r>
              <w:rPr>
                <w:color w:val="000000"/>
              </w:rPr>
              <w:t>No se identifican Amenazas.</w:t>
            </w:r>
          </w:p>
        </w:tc>
        <w:tc>
          <w:tcPr>
            <w:tcW w:w="3778" w:type="dxa"/>
            <w:vMerge w:val="restart"/>
            <w:tcBorders>
              <w:top w:val="nil"/>
              <w:left w:val="single" w:sz="8" w:space="0" w:color="000000"/>
              <w:bottom w:val="single" w:sz="8" w:space="0" w:color="000000"/>
              <w:right w:val="single" w:sz="8" w:space="0" w:color="000000"/>
            </w:tcBorders>
            <w:shd w:val="clear" w:color="auto" w:fill="FFFFFF"/>
            <w:vAlign w:val="center"/>
          </w:tcPr>
          <w:p w14:paraId="77026369" w14:textId="77777777" w:rsidR="006041CA" w:rsidRDefault="001271CC">
            <w:pPr>
              <w:spacing w:after="120" w:line="360" w:lineRule="auto"/>
              <w:jc w:val="center"/>
              <w:rPr>
                <w:color w:val="000000"/>
              </w:rPr>
            </w:pPr>
            <w:r>
              <w:rPr>
                <w:color w:val="000000"/>
              </w:rPr>
              <w:t>No se especifican recomendaciones en este cruce de análisis.</w:t>
            </w:r>
          </w:p>
        </w:tc>
        <w:tc>
          <w:tcPr>
            <w:tcW w:w="3097" w:type="dxa"/>
            <w:vMerge w:val="restart"/>
            <w:tcBorders>
              <w:top w:val="nil"/>
              <w:left w:val="single" w:sz="8" w:space="0" w:color="000000"/>
              <w:bottom w:val="single" w:sz="8" w:space="0" w:color="000000"/>
              <w:right w:val="single" w:sz="8" w:space="0" w:color="000000"/>
            </w:tcBorders>
            <w:shd w:val="clear" w:color="auto" w:fill="FFFFFF"/>
            <w:vAlign w:val="center"/>
          </w:tcPr>
          <w:p w14:paraId="31AC9EF8" w14:textId="77777777" w:rsidR="006041CA" w:rsidRDefault="001271CC">
            <w:pPr>
              <w:spacing w:after="120" w:line="360" w:lineRule="auto"/>
              <w:jc w:val="center"/>
              <w:rPr>
                <w:color w:val="000000"/>
              </w:rPr>
            </w:pPr>
            <w:r>
              <w:rPr>
                <w:color w:val="000000"/>
              </w:rPr>
              <w:t>No se especifican recomendaciones en este cruce de análisis.</w:t>
            </w:r>
          </w:p>
        </w:tc>
      </w:tr>
      <w:tr w:rsidR="006041CA" w14:paraId="476B1B37" w14:textId="77777777">
        <w:trPr>
          <w:trHeight w:val="523"/>
        </w:trPr>
        <w:tc>
          <w:tcPr>
            <w:tcW w:w="3087" w:type="dxa"/>
            <w:vMerge/>
            <w:tcBorders>
              <w:top w:val="nil"/>
              <w:left w:val="single" w:sz="8" w:space="0" w:color="000000"/>
              <w:bottom w:val="single" w:sz="8" w:space="0" w:color="000000"/>
              <w:right w:val="single" w:sz="8" w:space="0" w:color="000000"/>
            </w:tcBorders>
            <w:shd w:val="clear" w:color="auto" w:fill="FFFFFF"/>
            <w:vAlign w:val="center"/>
          </w:tcPr>
          <w:p w14:paraId="386F705D" w14:textId="77777777" w:rsidR="006041CA" w:rsidRDefault="006041CA">
            <w:pPr>
              <w:widowControl w:val="0"/>
              <w:pBdr>
                <w:top w:val="nil"/>
                <w:left w:val="nil"/>
                <w:bottom w:val="nil"/>
                <w:right w:val="nil"/>
                <w:between w:val="nil"/>
              </w:pBdr>
              <w:spacing w:after="0" w:line="276" w:lineRule="auto"/>
              <w:rPr>
                <w:color w:val="000000"/>
              </w:rPr>
            </w:pPr>
          </w:p>
        </w:tc>
        <w:tc>
          <w:tcPr>
            <w:tcW w:w="3778" w:type="dxa"/>
            <w:vMerge/>
            <w:tcBorders>
              <w:top w:val="nil"/>
              <w:left w:val="single" w:sz="8" w:space="0" w:color="000000"/>
              <w:bottom w:val="single" w:sz="8" w:space="0" w:color="000000"/>
              <w:right w:val="single" w:sz="8" w:space="0" w:color="000000"/>
            </w:tcBorders>
            <w:shd w:val="clear" w:color="auto" w:fill="FFFFFF"/>
            <w:vAlign w:val="center"/>
          </w:tcPr>
          <w:p w14:paraId="26367714" w14:textId="77777777" w:rsidR="006041CA" w:rsidRDefault="006041CA">
            <w:pPr>
              <w:widowControl w:val="0"/>
              <w:pBdr>
                <w:top w:val="nil"/>
                <w:left w:val="nil"/>
                <w:bottom w:val="nil"/>
                <w:right w:val="nil"/>
                <w:between w:val="nil"/>
              </w:pBdr>
              <w:spacing w:after="0" w:line="276" w:lineRule="auto"/>
              <w:rPr>
                <w:color w:val="000000"/>
              </w:rPr>
            </w:pPr>
          </w:p>
        </w:tc>
        <w:tc>
          <w:tcPr>
            <w:tcW w:w="3097" w:type="dxa"/>
            <w:vMerge/>
            <w:tcBorders>
              <w:top w:val="nil"/>
              <w:left w:val="single" w:sz="8" w:space="0" w:color="000000"/>
              <w:bottom w:val="single" w:sz="8" w:space="0" w:color="000000"/>
              <w:right w:val="single" w:sz="8" w:space="0" w:color="000000"/>
            </w:tcBorders>
            <w:shd w:val="clear" w:color="auto" w:fill="FFFFFF"/>
            <w:vAlign w:val="center"/>
          </w:tcPr>
          <w:p w14:paraId="12830532" w14:textId="77777777" w:rsidR="006041CA" w:rsidRDefault="006041CA">
            <w:pPr>
              <w:widowControl w:val="0"/>
              <w:pBdr>
                <w:top w:val="nil"/>
                <w:left w:val="nil"/>
                <w:bottom w:val="nil"/>
                <w:right w:val="nil"/>
                <w:between w:val="nil"/>
              </w:pBdr>
              <w:spacing w:after="0" w:line="276" w:lineRule="auto"/>
              <w:rPr>
                <w:color w:val="000000"/>
              </w:rPr>
            </w:pPr>
          </w:p>
        </w:tc>
      </w:tr>
    </w:tbl>
    <w:p w14:paraId="72FFF4D4" w14:textId="77777777" w:rsidR="006041CA" w:rsidRDefault="006041CA">
      <w:pPr>
        <w:spacing w:after="120" w:line="360" w:lineRule="auto"/>
      </w:pPr>
    </w:p>
    <w:p w14:paraId="60605FC6" w14:textId="77777777" w:rsidR="006041CA" w:rsidRDefault="001271CC">
      <w:pPr>
        <w:spacing w:after="120" w:line="360" w:lineRule="auto"/>
      </w:pPr>
      <w:r>
        <w:br w:type="page"/>
      </w:r>
    </w:p>
    <w:tbl>
      <w:tblPr>
        <w:tblStyle w:val="a5"/>
        <w:tblW w:w="9962" w:type="dxa"/>
        <w:tblInd w:w="-10" w:type="dxa"/>
        <w:tblLayout w:type="fixed"/>
        <w:tblLook w:val="0400" w:firstRow="0" w:lastRow="0" w:firstColumn="0" w:lastColumn="0" w:noHBand="0" w:noVBand="1"/>
      </w:tblPr>
      <w:tblGrid>
        <w:gridCol w:w="3087"/>
        <w:gridCol w:w="3778"/>
        <w:gridCol w:w="3097"/>
      </w:tblGrid>
      <w:tr w:rsidR="006041CA" w14:paraId="0158437E" w14:textId="77777777">
        <w:trPr>
          <w:trHeight w:val="315"/>
        </w:trPr>
        <w:tc>
          <w:tcPr>
            <w:tcW w:w="9962"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6C472B62" w14:textId="77777777" w:rsidR="006041CA" w:rsidRDefault="001271CC">
            <w:pPr>
              <w:spacing w:after="120" w:line="360" w:lineRule="auto"/>
              <w:rPr>
                <w:b/>
                <w:color w:val="000000"/>
              </w:rPr>
            </w:pPr>
            <w:r>
              <w:rPr>
                <w:b/>
                <w:color w:val="000000"/>
              </w:rPr>
              <w:t>Matriz FODA: Cobertura</w:t>
            </w:r>
          </w:p>
        </w:tc>
      </w:tr>
      <w:tr w:rsidR="006041CA" w14:paraId="6ABBBA58" w14:textId="77777777">
        <w:trPr>
          <w:trHeight w:val="300"/>
        </w:trPr>
        <w:tc>
          <w:tcPr>
            <w:tcW w:w="3087" w:type="dxa"/>
            <w:tcBorders>
              <w:top w:val="nil"/>
              <w:left w:val="single" w:sz="8" w:space="0" w:color="000000"/>
              <w:bottom w:val="nil"/>
              <w:right w:val="single" w:sz="8" w:space="0" w:color="000000"/>
            </w:tcBorders>
            <w:shd w:val="clear" w:color="auto" w:fill="6C0C4C"/>
            <w:vAlign w:val="center"/>
          </w:tcPr>
          <w:p w14:paraId="3221FA0A" w14:textId="77777777" w:rsidR="006041CA" w:rsidRDefault="001271CC">
            <w:pPr>
              <w:spacing w:after="120" w:line="360" w:lineRule="auto"/>
              <w:jc w:val="right"/>
              <w:rPr>
                <w:b/>
                <w:color w:val="FFFFFF"/>
              </w:rPr>
            </w:pPr>
            <w:r>
              <w:rPr>
                <w:b/>
                <w:color w:val="FFFFFF"/>
              </w:rPr>
              <w:t>Factores internos</w:t>
            </w:r>
          </w:p>
        </w:tc>
        <w:tc>
          <w:tcPr>
            <w:tcW w:w="3778" w:type="dxa"/>
            <w:vMerge w:val="restart"/>
            <w:tcBorders>
              <w:top w:val="nil"/>
              <w:left w:val="single" w:sz="8" w:space="0" w:color="000000"/>
              <w:bottom w:val="single" w:sz="8" w:space="0" w:color="000000"/>
              <w:right w:val="single" w:sz="8" w:space="0" w:color="000000"/>
            </w:tcBorders>
            <w:shd w:val="clear" w:color="auto" w:fill="6C0C4C"/>
            <w:vAlign w:val="center"/>
          </w:tcPr>
          <w:p w14:paraId="5C820D20" w14:textId="77777777" w:rsidR="006041CA" w:rsidRDefault="001271CC">
            <w:pPr>
              <w:spacing w:after="120" w:line="360" w:lineRule="auto"/>
              <w:jc w:val="center"/>
              <w:rPr>
                <w:b/>
                <w:color w:val="FFFFFF"/>
              </w:rPr>
            </w:pPr>
            <w:r>
              <w:rPr>
                <w:b/>
                <w:color w:val="FFFFFF"/>
              </w:rPr>
              <w:t>Fortalezas</w:t>
            </w:r>
          </w:p>
        </w:tc>
        <w:tc>
          <w:tcPr>
            <w:tcW w:w="3097" w:type="dxa"/>
            <w:vMerge w:val="restart"/>
            <w:tcBorders>
              <w:top w:val="nil"/>
              <w:left w:val="single" w:sz="8" w:space="0" w:color="000000"/>
              <w:bottom w:val="single" w:sz="8" w:space="0" w:color="000000"/>
              <w:right w:val="single" w:sz="8" w:space="0" w:color="000000"/>
            </w:tcBorders>
            <w:shd w:val="clear" w:color="auto" w:fill="6C0C4C"/>
            <w:vAlign w:val="center"/>
          </w:tcPr>
          <w:p w14:paraId="043E7283" w14:textId="77777777" w:rsidR="006041CA" w:rsidRDefault="001271CC">
            <w:pPr>
              <w:spacing w:after="120" w:line="360" w:lineRule="auto"/>
              <w:jc w:val="center"/>
              <w:rPr>
                <w:b/>
                <w:color w:val="FFFFFF"/>
              </w:rPr>
            </w:pPr>
            <w:r>
              <w:rPr>
                <w:b/>
                <w:color w:val="FFFFFF"/>
              </w:rPr>
              <w:t>Debilidades</w:t>
            </w:r>
          </w:p>
        </w:tc>
      </w:tr>
      <w:tr w:rsidR="006041CA" w14:paraId="2E862268" w14:textId="77777777">
        <w:trPr>
          <w:trHeight w:val="300"/>
        </w:trPr>
        <w:tc>
          <w:tcPr>
            <w:tcW w:w="3087" w:type="dxa"/>
            <w:tcBorders>
              <w:top w:val="nil"/>
              <w:left w:val="single" w:sz="8" w:space="0" w:color="000000"/>
              <w:bottom w:val="nil"/>
              <w:right w:val="single" w:sz="8" w:space="0" w:color="000000"/>
            </w:tcBorders>
            <w:shd w:val="clear" w:color="auto" w:fill="6C0C4C"/>
            <w:vAlign w:val="center"/>
          </w:tcPr>
          <w:p w14:paraId="3EE8A8FF" w14:textId="77777777" w:rsidR="006041CA" w:rsidRDefault="001271CC">
            <w:pPr>
              <w:spacing w:after="120" w:line="360" w:lineRule="auto"/>
              <w:rPr>
                <w:b/>
                <w:color w:val="FFFFFF"/>
              </w:rPr>
            </w:pPr>
            <w:r>
              <w:rPr>
                <w:b/>
                <w:color w:val="FFFFFF"/>
              </w:rPr>
              <w:t> </w:t>
            </w:r>
          </w:p>
        </w:tc>
        <w:tc>
          <w:tcPr>
            <w:tcW w:w="3778" w:type="dxa"/>
            <w:vMerge/>
            <w:tcBorders>
              <w:top w:val="nil"/>
              <w:left w:val="single" w:sz="8" w:space="0" w:color="000000"/>
              <w:bottom w:val="single" w:sz="8" w:space="0" w:color="000000"/>
              <w:right w:val="single" w:sz="8" w:space="0" w:color="000000"/>
            </w:tcBorders>
            <w:shd w:val="clear" w:color="auto" w:fill="6C0C4C"/>
            <w:vAlign w:val="center"/>
          </w:tcPr>
          <w:p w14:paraId="7EA80F1B" w14:textId="77777777" w:rsidR="006041CA" w:rsidRDefault="006041CA">
            <w:pPr>
              <w:widowControl w:val="0"/>
              <w:pBdr>
                <w:top w:val="nil"/>
                <w:left w:val="nil"/>
                <w:bottom w:val="nil"/>
                <w:right w:val="nil"/>
                <w:between w:val="nil"/>
              </w:pBdr>
              <w:spacing w:after="0" w:line="276" w:lineRule="auto"/>
              <w:rPr>
                <w:b/>
                <w:color w:val="FFFFFF"/>
              </w:rPr>
            </w:pPr>
          </w:p>
        </w:tc>
        <w:tc>
          <w:tcPr>
            <w:tcW w:w="3097" w:type="dxa"/>
            <w:vMerge/>
            <w:tcBorders>
              <w:top w:val="nil"/>
              <w:left w:val="single" w:sz="8" w:space="0" w:color="000000"/>
              <w:bottom w:val="single" w:sz="8" w:space="0" w:color="000000"/>
              <w:right w:val="single" w:sz="8" w:space="0" w:color="000000"/>
            </w:tcBorders>
            <w:shd w:val="clear" w:color="auto" w:fill="6C0C4C"/>
            <w:vAlign w:val="center"/>
          </w:tcPr>
          <w:p w14:paraId="10588229" w14:textId="77777777" w:rsidR="006041CA" w:rsidRDefault="006041CA">
            <w:pPr>
              <w:widowControl w:val="0"/>
              <w:pBdr>
                <w:top w:val="nil"/>
                <w:left w:val="nil"/>
                <w:bottom w:val="nil"/>
                <w:right w:val="nil"/>
                <w:between w:val="nil"/>
              </w:pBdr>
              <w:spacing w:after="0" w:line="276" w:lineRule="auto"/>
              <w:rPr>
                <w:b/>
                <w:color w:val="FFFFFF"/>
              </w:rPr>
            </w:pPr>
          </w:p>
        </w:tc>
      </w:tr>
      <w:tr w:rsidR="006041CA" w14:paraId="7B047017" w14:textId="77777777">
        <w:trPr>
          <w:trHeight w:val="315"/>
        </w:trPr>
        <w:tc>
          <w:tcPr>
            <w:tcW w:w="3087" w:type="dxa"/>
            <w:tcBorders>
              <w:top w:val="nil"/>
              <w:left w:val="single" w:sz="8" w:space="0" w:color="000000"/>
              <w:bottom w:val="nil"/>
              <w:right w:val="single" w:sz="8" w:space="0" w:color="000000"/>
            </w:tcBorders>
            <w:shd w:val="clear" w:color="auto" w:fill="6C0C4C"/>
            <w:vAlign w:val="center"/>
          </w:tcPr>
          <w:p w14:paraId="6AE2BC81" w14:textId="77777777" w:rsidR="006041CA" w:rsidRDefault="001271CC">
            <w:pPr>
              <w:spacing w:after="120" w:line="360" w:lineRule="auto"/>
              <w:rPr>
                <w:b/>
                <w:color w:val="FFFFFF"/>
              </w:rPr>
            </w:pPr>
            <w:r>
              <w:rPr>
                <w:b/>
                <w:color w:val="FFFFFF"/>
              </w:rPr>
              <w:t> </w:t>
            </w:r>
          </w:p>
        </w:tc>
        <w:tc>
          <w:tcPr>
            <w:tcW w:w="3778" w:type="dxa"/>
            <w:vMerge/>
            <w:tcBorders>
              <w:top w:val="nil"/>
              <w:left w:val="single" w:sz="8" w:space="0" w:color="000000"/>
              <w:bottom w:val="single" w:sz="8" w:space="0" w:color="000000"/>
              <w:right w:val="single" w:sz="8" w:space="0" w:color="000000"/>
            </w:tcBorders>
            <w:shd w:val="clear" w:color="auto" w:fill="6C0C4C"/>
            <w:vAlign w:val="center"/>
          </w:tcPr>
          <w:p w14:paraId="1766A112" w14:textId="77777777" w:rsidR="006041CA" w:rsidRDefault="006041CA">
            <w:pPr>
              <w:widowControl w:val="0"/>
              <w:pBdr>
                <w:top w:val="nil"/>
                <w:left w:val="nil"/>
                <w:bottom w:val="nil"/>
                <w:right w:val="nil"/>
                <w:between w:val="nil"/>
              </w:pBdr>
              <w:spacing w:after="0" w:line="276" w:lineRule="auto"/>
              <w:rPr>
                <w:b/>
                <w:color w:val="FFFFFF"/>
              </w:rPr>
            </w:pPr>
          </w:p>
        </w:tc>
        <w:tc>
          <w:tcPr>
            <w:tcW w:w="3097" w:type="dxa"/>
            <w:vMerge/>
            <w:tcBorders>
              <w:top w:val="nil"/>
              <w:left w:val="single" w:sz="8" w:space="0" w:color="000000"/>
              <w:bottom w:val="single" w:sz="8" w:space="0" w:color="000000"/>
              <w:right w:val="single" w:sz="8" w:space="0" w:color="000000"/>
            </w:tcBorders>
            <w:shd w:val="clear" w:color="auto" w:fill="6C0C4C"/>
            <w:vAlign w:val="center"/>
          </w:tcPr>
          <w:p w14:paraId="573DDAEC" w14:textId="77777777" w:rsidR="006041CA" w:rsidRDefault="006041CA">
            <w:pPr>
              <w:widowControl w:val="0"/>
              <w:pBdr>
                <w:top w:val="nil"/>
                <w:left w:val="nil"/>
                <w:bottom w:val="nil"/>
                <w:right w:val="nil"/>
                <w:between w:val="nil"/>
              </w:pBdr>
              <w:spacing w:after="0" w:line="276" w:lineRule="auto"/>
              <w:rPr>
                <w:b/>
                <w:color w:val="FFFFFF"/>
              </w:rPr>
            </w:pPr>
          </w:p>
        </w:tc>
      </w:tr>
      <w:tr w:rsidR="006041CA" w14:paraId="483B1F93" w14:textId="77777777">
        <w:trPr>
          <w:trHeight w:val="915"/>
        </w:trPr>
        <w:tc>
          <w:tcPr>
            <w:tcW w:w="3087" w:type="dxa"/>
            <w:tcBorders>
              <w:top w:val="nil"/>
              <w:left w:val="single" w:sz="8" w:space="0" w:color="000000"/>
              <w:bottom w:val="nil"/>
              <w:right w:val="single" w:sz="8" w:space="0" w:color="000000"/>
            </w:tcBorders>
            <w:shd w:val="clear" w:color="auto" w:fill="6C0C4C"/>
            <w:vAlign w:val="center"/>
          </w:tcPr>
          <w:p w14:paraId="744D12D2" w14:textId="77777777" w:rsidR="006041CA" w:rsidRDefault="001271CC">
            <w:pPr>
              <w:spacing w:after="120" w:line="360" w:lineRule="auto"/>
              <w:rPr>
                <w:b/>
                <w:color w:val="FFFFFF"/>
              </w:rPr>
            </w:pPr>
            <w:r>
              <w:rPr>
                <w:b/>
                <w:color w:val="FFFFFF"/>
              </w:rPr>
              <w:t> </w:t>
            </w:r>
          </w:p>
        </w:tc>
        <w:tc>
          <w:tcPr>
            <w:tcW w:w="3778" w:type="dxa"/>
            <w:tcBorders>
              <w:top w:val="nil"/>
              <w:left w:val="nil"/>
              <w:bottom w:val="single" w:sz="8" w:space="0" w:color="000000"/>
              <w:right w:val="single" w:sz="8" w:space="0" w:color="000000"/>
            </w:tcBorders>
            <w:shd w:val="clear" w:color="auto" w:fill="auto"/>
            <w:vAlign w:val="center"/>
          </w:tcPr>
          <w:p w14:paraId="4BD7F4DB" w14:textId="77777777" w:rsidR="006041CA" w:rsidRDefault="001271CC">
            <w:pPr>
              <w:spacing w:after="120" w:line="360" w:lineRule="auto"/>
              <w:rPr>
                <w:color w:val="000000"/>
              </w:rPr>
            </w:pPr>
            <w:r>
              <w:rPr>
                <w:color w:val="000000"/>
              </w:rPr>
              <w:t>1. Se cuenta con una estrategia de cobertura por parte del ente público encargado del Programa presupuestario.</w:t>
            </w:r>
          </w:p>
        </w:tc>
        <w:tc>
          <w:tcPr>
            <w:tcW w:w="3097" w:type="dxa"/>
            <w:vMerge w:val="restart"/>
            <w:tcBorders>
              <w:top w:val="nil"/>
              <w:left w:val="single" w:sz="8" w:space="0" w:color="000000"/>
              <w:bottom w:val="single" w:sz="8" w:space="0" w:color="000000"/>
              <w:right w:val="single" w:sz="8" w:space="0" w:color="000000"/>
            </w:tcBorders>
            <w:shd w:val="clear" w:color="auto" w:fill="auto"/>
            <w:vAlign w:val="center"/>
          </w:tcPr>
          <w:p w14:paraId="36D9450F" w14:textId="77777777" w:rsidR="006041CA" w:rsidRDefault="001271CC">
            <w:pPr>
              <w:spacing w:after="120" w:line="360" w:lineRule="auto"/>
              <w:jc w:val="center"/>
              <w:rPr>
                <w:color w:val="000000"/>
              </w:rPr>
            </w:pPr>
            <w:r>
              <w:rPr>
                <w:color w:val="000000"/>
              </w:rPr>
              <w:t>No se identifican Debilidades.</w:t>
            </w:r>
          </w:p>
        </w:tc>
      </w:tr>
      <w:tr w:rsidR="006041CA" w14:paraId="110D4D59" w14:textId="77777777">
        <w:trPr>
          <w:trHeight w:val="615"/>
        </w:trPr>
        <w:tc>
          <w:tcPr>
            <w:tcW w:w="3087" w:type="dxa"/>
            <w:tcBorders>
              <w:top w:val="nil"/>
              <w:left w:val="single" w:sz="8" w:space="0" w:color="000000"/>
              <w:bottom w:val="nil"/>
              <w:right w:val="single" w:sz="8" w:space="0" w:color="000000"/>
            </w:tcBorders>
            <w:shd w:val="clear" w:color="auto" w:fill="6C0C4C"/>
            <w:vAlign w:val="center"/>
          </w:tcPr>
          <w:p w14:paraId="1F371D0D" w14:textId="77777777" w:rsidR="006041CA" w:rsidRDefault="001271CC">
            <w:pPr>
              <w:spacing w:after="120" w:line="360" w:lineRule="auto"/>
              <w:rPr>
                <w:b/>
                <w:color w:val="FFFFFF"/>
              </w:rPr>
            </w:pPr>
            <w:r>
              <w:rPr>
                <w:b/>
                <w:color w:val="FFFFFF"/>
              </w:rPr>
              <w:t> </w:t>
            </w:r>
          </w:p>
        </w:tc>
        <w:tc>
          <w:tcPr>
            <w:tcW w:w="3778" w:type="dxa"/>
            <w:tcBorders>
              <w:top w:val="nil"/>
              <w:left w:val="nil"/>
              <w:bottom w:val="single" w:sz="8" w:space="0" w:color="000000"/>
              <w:right w:val="single" w:sz="8" w:space="0" w:color="000000"/>
            </w:tcBorders>
            <w:shd w:val="clear" w:color="auto" w:fill="auto"/>
            <w:vAlign w:val="center"/>
          </w:tcPr>
          <w:p w14:paraId="20623C9D" w14:textId="77777777" w:rsidR="006041CA" w:rsidRDefault="001271CC">
            <w:pPr>
              <w:spacing w:after="120" w:line="360" w:lineRule="auto"/>
              <w:rPr>
                <w:color w:val="000000"/>
              </w:rPr>
            </w:pPr>
            <w:r>
              <w:rPr>
                <w:color w:val="000000"/>
              </w:rPr>
              <w:t>2. Para el ejercicio fiscal 2023 se identifica una Eficacia de Cobertura del 100%.</w:t>
            </w:r>
          </w:p>
        </w:tc>
        <w:tc>
          <w:tcPr>
            <w:tcW w:w="3097" w:type="dxa"/>
            <w:vMerge/>
            <w:tcBorders>
              <w:top w:val="nil"/>
              <w:left w:val="single" w:sz="8" w:space="0" w:color="000000"/>
              <w:bottom w:val="single" w:sz="8" w:space="0" w:color="000000"/>
              <w:right w:val="single" w:sz="8" w:space="0" w:color="000000"/>
            </w:tcBorders>
            <w:shd w:val="clear" w:color="auto" w:fill="auto"/>
            <w:vAlign w:val="center"/>
          </w:tcPr>
          <w:p w14:paraId="73BC120C" w14:textId="77777777" w:rsidR="006041CA" w:rsidRDefault="006041CA">
            <w:pPr>
              <w:widowControl w:val="0"/>
              <w:pBdr>
                <w:top w:val="nil"/>
                <w:left w:val="nil"/>
                <w:bottom w:val="nil"/>
                <w:right w:val="nil"/>
                <w:between w:val="nil"/>
              </w:pBdr>
              <w:spacing w:after="0" w:line="276" w:lineRule="auto"/>
              <w:rPr>
                <w:color w:val="000000"/>
              </w:rPr>
            </w:pPr>
          </w:p>
        </w:tc>
      </w:tr>
      <w:tr w:rsidR="006041CA" w14:paraId="54C46FF3" w14:textId="77777777">
        <w:trPr>
          <w:trHeight w:val="915"/>
        </w:trPr>
        <w:tc>
          <w:tcPr>
            <w:tcW w:w="3087" w:type="dxa"/>
            <w:tcBorders>
              <w:top w:val="nil"/>
              <w:left w:val="single" w:sz="8" w:space="0" w:color="000000"/>
              <w:bottom w:val="nil"/>
              <w:right w:val="single" w:sz="8" w:space="0" w:color="000000"/>
            </w:tcBorders>
            <w:shd w:val="clear" w:color="auto" w:fill="6C0C4C"/>
            <w:vAlign w:val="center"/>
          </w:tcPr>
          <w:p w14:paraId="465D13E4" w14:textId="77777777" w:rsidR="006041CA" w:rsidRDefault="001271CC">
            <w:pPr>
              <w:spacing w:after="120" w:line="360" w:lineRule="auto"/>
              <w:rPr>
                <w:b/>
                <w:color w:val="FFFFFF"/>
              </w:rPr>
            </w:pPr>
            <w:r>
              <w:rPr>
                <w:b/>
                <w:color w:val="FFFFFF"/>
              </w:rPr>
              <w:t> </w:t>
            </w:r>
          </w:p>
        </w:tc>
        <w:tc>
          <w:tcPr>
            <w:tcW w:w="3778" w:type="dxa"/>
            <w:tcBorders>
              <w:top w:val="nil"/>
              <w:left w:val="nil"/>
              <w:bottom w:val="single" w:sz="8" w:space="0" w:color="000000"/>
              <w:right w:val="single" w:sz="8" w:space="0" w:color="000000"/>
            </w:tcBorders>
            <w:shd w:val="clear" w:color="auto" w:fill="auto"/>
            <w:vAlign w:val="center"/>
          </w:tcPr>
          <w:p w14:paraId="7BD0F362" w14:textId="77777777" w:rsidR="006041CA" w:rsidRDefault="001271CC">
            <w:pPr>
              <w:spacing w:after="120" w:line="360" w:lineRule="auto"/>
              <w:rPr>
                <w:color w:val="000000"/>
              </w:rPr>
            </w:pPr>
            <w:r>
              <w:rPr>
                <w:color w:val="000000"/>
              </w:rPr>
              <w:t>3. Se incrementa la eficiencia de cobertura del 2021 al 2022 y este resultado se sostiene en el ejercicio 2023.</w:t>
            </w:r>
          </w:p>
        </w:tc>
        <w:tc>
          <w:tcPr>
            <w:tcW w:w="3097" w:type="dxa"/>
            <w:vMerge/>
            <w:tcBorders>
              <w:top w:val="nil"/>
              <w:left w:val="single" w:sz="8" w:space="0" w:color="000000"/>
              <w:bottom w:val="single" w:sz="8" w:space="0" w:color="000000"/>
              <w:right w:val="single" w:sz="8" w:space="0" w:color="000000"/>
            </w:tcBorders>
            <w:shd w:val="clear" w:color="auto" w:fill="auto"/>
            <w:vAlign w:val="center"/>
          </w:tcPr>
          <w:p w14:paraId="1A15E37A" w14:textId="77777777" w:rsidR="006041CA" w:rsidRDefault="006041CA">
            <w:pPr>
              <w:widowControl w:val="0"/>
              <w:pBdr>
                <w:top w:val="nil"/>
                <w:left w:val="nil"/>
                <w:bottom w:val="nil"/>
                <w:right w:val="nil"/>
                <w:between w:val="nil"/>
              </w:pBdr>
              <w:spacing w:after="0" w:line="276" w:lineRule="auto"/>
              <w:rPr>
                <w:color w:val="000000"/>
              </w:rPr>
            </w:pPr>
          </w:p>
        </w:tc>
      </w:tr>
      <w:tr w:rsidR="006041CA" w14:paraId="42862339" w14:textId="77777777">
        <w:trPr>
          <w:trHeight w:val="615"/>
        </w:trPr>
        <w:tc>
          <w:tcPr>
            <w:tcW w:w="3087" w:type="dxa"/>
            <w:tcBorders>
              <w:top w:val="nil"/>
              <w:left w:val="single" w:sz="8" w:space="0" w:color="000000"/>
              <w:bottom w:val="single" w:sz="8" w:space="0" w:color="000000"/>
              <w:right w:val="single" w:sz="8" w:space="0" w:color="000000"/>
            </w:tcBorders>
            <w:shd w:val="clear" w:color="auto" w:fill="6C0C4C"/>
            <w:vAlign w:val="center"/>
          </w:tcPr>
          <w:p w14:paraId="0F0792B3" w14:textId="77777777" w:rsidR="006041CA" w:rsidRDefault="001271CC">
            <w:pPr>
              <w:spacing w:after="120" w:line="360" w:lineRule="auto"/>
              <w:rPr>
                <w:b/>
                <w:color w:val="FFFFFF"/>
              </w:rPr>
            </w:pPr>
            <w:r>
              <w:rPr>
                <w:b/>
                <w:color w:val="FFFFFF"/>
              </w:rPr>
              <w:t>Factores externos</w:t>
            </w:r>
          </w:p>
        </w:tc>
        <w:tc>
          <w:tcPr>
            <w:tcW w:w="3778" w:type="dxa"/>
            <w:tcBorders>
              <w:top w:val="nil"/>
              <w:left w:val="nil"/>
              <w:bottom w:val="single" w:sz="8" w:space="0" w:color="000000"/>
              <w:right w:val="single" w:sz="8" w:space="0" w:color="000000"/>
            </w:tcBorders>
            <w:shd w:val="clear" w:color="auto" w:fill="auto"/>
            <w:vAlign w:val="center"/>
          </w:tcPr>
          <w:p w14:paraId="30939334" w14:textId="77777777" w:rsidR="006041CA" w:rsidRDefault="001271CC">
            <w:pPr>
              <w:spacing w:after="120" w:line="360" w:lineRule="auto"/>
              <w:rPr>
                <w:color w:val="000000"/>
              </w:rPr>
            </w:pPr>
            <w:r>
              <w:rPr>
                <w:color w:val="000000"/>
              </w:rPr>
              <w:t>4. El Costo Efectividad es el esperado para el ejercicio 2023.</w:t>
            </w:r>
          </w:p>
        </w:tc>
        <w:tc>
          <w:tcPr>
            <w:tcW w:w="3097" w:type="dxa"/>
            <w:vMerge/>
            <w:tcBorders>
              <w:top w:val="nil"/>
              <w:left w:val="single" w:sz="8" w:space="0" w:color="000000"/>
              <w:bottom w:val="single" w:sz="8" w:space="0" w:color="000000"/>
              <w:right w:val="single" w:sz="8" w:space="0" w:color="000000"/>
            </w:tcBorders>
            <w:shd w:val="clear" w:color="auto" w:fill="auto"/>
            <w:vAlign w:val="center"/>
          </w:tcPr>
          <w:p w14:paraId="2882F1E2" w14:textId="77777777" w:rsidR="006041CA" w:rsidRDefault="006041CA">
            <w:pPr>
              <w:widowControl w:val="0"/>
              <w:pBdr>
                <w:top w:val="nil"/>
                <w:left w:val="nil"/>
                <w:bottom w:val="nil"/>
                <w:right w:val="nil"/>
                <w:between w:val="nil"/>
              </w:pBdr>
              <w:spacing w:after="0" w:line="276" w:lineRule="auto"/>
              <w:rPr>
                <w:color w:val="000000"/>
              </w:rPr>
            </w:pPr>
          </w:p>
        </w:tc>
      </w:tr>
      <w:tr w:rsidR="006041CA" w14:paraId="7D94FA8D" w14:textId="77777777">
        <w:trPr>
          <w:trHeight w:val="315"/>
        </w:trPr>
        <w:tc>
          <w:tcPr>
            <w:tcW w:w="3087" w:type="dxa"/>
            <w:tcBorders>
              <w:top w:val="nil"/>
              <w:left w:val="single" w:sz="8" w:space="0" w:color="000000"/>
              <w:bottom w:val="single" w:sz="8" w:space="0" w:color="000000"/>
              <w:right w:val="single" w:sz="8" w:space="0" w:color="000000"/>
            </w:tcBorders>
            <w:shd w:val="clear" w:color="auto" w:fill="6C0C4C"/>
            <w:vAlign w:val="center"/>
          </w:tcPr>
          <w:p w14:paraId="2F021D6C" w14:textId="77777777" w:rsidR="006041CA" w:rsidRDefault="001271CC">
            <w:pPr>
              <w:spacing w:after="120" w:line="360" w:lineRule="auto"/>
              <w:jc w:val="center"/>
              <w:rPr>
                <w:b/>
                <w:color w:val="FFFFFF"/>
              </w:rPr>
            </w:pPr>
            <w:r>
              <w:rPr>
                <w:b/>
                <w:color w:val="FFFFFF"/>
              </w:rPr>
              <w:t>Oportunidades</w:t>
            </w:r>
          </w:p>
        </w:tc>
        <w:tc>
          <w:tcPr>
            <w:tcW w:w="3778" w:type="dxa"/>
            <w:vMerge w:val="restart"/>
            <w:tcBorders>
              <w:top w:val="nil"/>
              <w:left w:val="single" w:sz="8" w:space="0" w:color="000000"/>
              <w:bottom w:val="single" w:sz="8" w:space="0" w:color="000000"/>
              <w:right w:val="single" w:sz="8" w:space="0" w:color="000000"/>
            </w:tcBorders>
            <w:shd w:val="clear" w:color="auto" w:fill="FFC4D4"/>
            <w:vAlign w:val="center"/>
          </w:tcPr>
          <w:p w14:paraId="7F2F784B" w14:textId="77777777" w:rsidR="006041CA" w:rsidRDefault="001271CC">
            <w:pPr>
              <w:spacing w:after="120" w:line="360" w:lineRule="auto"/>
              <w:jc w:val="center"/>
              <w:rPr>
                <w:color w:val="000000"/>
              </w:rPr>
            </w:pPr>
            <w:r>
              <w:rPr>
                <w:color w:val="000000"/>
              </w:rPr>
              <w:t>FO: No aplican recomendaciones; sin embargo, la institución sí debe identificar estrategias en donde, mediante las fortalezas internas, se aproveche la ventaja de las oportunidades externas.</w:t>
            </w:r>
          </w:p>
        </w:tc>
        <w:tc>
          <w:tcPr>
            <w:tcW w:w="3097" w:type="dxa"/>
            <w:tcBorders>
              <w:top w:val="nil"/>
              <w:left w:val="nil"/>
              <w:bottom w:val="single" w:sz="8" w:space="0" w:color="000000"/>
              <w:right w:val="single" w:sz="8" w:space="0" w:color="000000"/>
            </w:tcBorders>
            <w:shd w:val="clear" w:color="auto" w:fill="6C0C4C"/>
            <w:vAlign w:val="center"/>
          </w:tcPr>
          <w:p w14:paraId="5B26E110" w14:textId="77777777" w:rsidR="006041CA" w:rsidRDefault="001271CC">
            <w:pPr>
              <w:spacing w:after="120" w:line="360" w:lineRule="auto"/>
              <w:jc w:val="center"/>
              <w:rPr>
                <w:b/>
                <w:color w:val="FFFFFF"/>
              </w:rPr>
            </w:pPr>
            <w:r>
              <w:rPr>
                <w:b/>
                <w:color w:val="FFFFFF"/>
              </w:rPr>
              <w:t>Recomendaciones DO:</w:t>
            </w:r>
          </w:p>
        </w:tc>
      </w:tr>
      <w:tr w:rsidR="006041CA" w14:paraId="4BF3097D" w14:textId="77777777">
        <w:trPr>
          <w:trHeight w:val="523"/>
        </w:trPr>
        <w:tc>
          <w:tcPr>
            <w:tcW w:w="3087" w:type="dxa"/>
            <w:vMerge w:val="restart"/>
            <w:tcBorders>
              <w:top w:val="nil"/>
              <w:left w:val="single" w:sz="8" w:space="0" w:color="000000"/>
              <w:bottom w:val="single" w:sz="8" w:space="0" w:color="000000"/>
              <w:right w:val="single" w:sz="8" w:space="0" w:color="000000"/>
            </w:tcBorders>
            <w:shd w:val="clear" w:color="auto" w:fill="auto"/>
            <w:vAlign w:val="center"/>
          </w:tcPr>
          <w:p w14:paraId="575CE7F6" w14:textId="77777777" w:rsidR="006041CA" w:rsidRDefault="001271CC">
            <w:pPr>
              <w:spacing w:after="120" w:line="360" w:lineRule="auto"/>
              <w:jc w:val="center"/>
              <w:rPr>
                <w:color w:val="000000"/>
              </w:rPr>
            </w:pPr>
            <w:r>
              <w:rPr>
                <w:color w:val="000000"/>
              </w:rPr>
              <w:t>No se identifican Oportunidades.</w:t>
            </w:r>
          </w:p>
        </w:tc>
        <w:tc>
          <w:tcPr>
            <w:tcW w:w="3778" w:type="dxa"/>
            <w:vMerge/>
            <w:tcBorders>
              <w:top w:val="nil"/>
              <w:left w:val="single" w:sz="8" w:space="0" w:color="000000"/>
              <w:bottom w:val="single" w:sz="8" w:space="0" w:color="000000"/>
              <w:right w:val="single" w:sz="8" w:space="0" w:color="000000"/>
            </w:tcBorders>
            <w:shd w:val="clear" w:color="auto" w:fill="FFC4D4"/>
            <w:vAlign w:val="center"/>
          </w:tcPr>
          <w:p w14:paraId="223BA235" w14:textId="77777777" w:rsidR="006041CA" w:rsidRDefault="006041CA">
            <w:pPr>
              <w:widowControl w:val="0"/>
              <w:pBdr>
                <w:top w:val="nil"/>
                <w:left w:val="nil"/>
                <w:bottom w:val="nil"/>
                <w:right w:val="nil"/>
                <w:between w:val="nil"/>
              </w:pBdr>
              <w:spacing w:after="0" w:line="276" w:lineRule="auto"/>
              <w:rPr>
                <w:color w:val="000000"/>
              </w:rPr>
            </w:pPr>
          </w:p>
        </w:tc>
        <w:tc>
          <w:tcPr>
            <w:tcW w:w="3097" w:type="dxa"/>
            <w:vMerge w:val="restart"/>
            <w:tcBorders>
              <w:top w:val="nil"/>
              <w:left w:val="single" w:sz="8" w:space="0" w:color="000000"/>
              <w:bottom w:val="single" w:sz="8" w:space="0" w:color="000000"/>
              <w:right w:val="single" w:sz="8" w:space="0" w:color="000000"/>
            </w:tcBorders>
            <w:shd w:val="clear" w:color="auto" w:fill="FFFFFF"/>
            <w:vAlign w:val="center"/>
          </w:tcPr>
          <w:p w14:paraId="64CA9CEC" w14:textId="77777777" w:rsidR="006041CA" w:rsidRDefault="001271CC">
            <w:pPr>
              <w:spacing w:after="120" w:line="360" w:lineRule="auto"/>
              <w:jc w:val="center"/>
              <w:rPr>
                <w:color w:val="000000"/>
              </w:rPr>
            </w:pPr>
            <w:r>
              <w:rPr>
                <w:color w:val="000000"/>
              </w:rPr>
              <w:t>No se especifican recomendaciones en este cruce de análisis.</w:t>
            </w:r>
          </w:p>
        </w:tc>
      </w:tr>
      <w:tr w:rsidR="006041CA" w14:paraId="78F9EF6B" w14:textId="77777777">
        <w:trPr>
          <w:trHeight w:val="523"/>
        </w:trPr>
        <w:tc>
          <w:tcPr>
            <w:tcW w:w="3087" w:type="dxa"/>
            <w:vMerge/>
            <w:tcBorders>
              <w:top w:val="nil"/>
              <w:left w:val="single" w:sz="8" w:space="0" w:color="000000"/>
              <w:bottom w:val="single" w:sz="8" w:space="0" w:color="000000"/>
              <w:right w:val="single" w:sz="8" w:space="0" w:color="000000"/>
            </w:tcBorders>
            <w:shd w:val="clear" w:color="auto" w:fill="auto"/>
            <w:vAlign w:val="center"/>
          </w:tcPr>
          <w:p w14:paraId="45BFCEA3" w14:textId="77777777" w:rsidR="006041CA" w:rsidRDefault="006041CA">
            <w:pPr>
              <w:widowControl w:val="0"/>
              <w:pBdr>
                <w:top w:val="nil"/>
                <w:left w:val="nil"/>
                <w:bottom w:val="nil"/>
                <w:right w:val="nil"/>
                <w:between w:val="nil"/>
              </w:pBdr>
              <w:spacing w:after="0" w:line="276" w:lineRule="auto"/>
              <w:rPr>
                <w:color w:val="000000"/>
              </w:rPr>
            </w:pPr>
          </w:p>
        </w:tc>
        <w:tc>
          <w:tcPr>
            <w:tcW w:w="3778" w:type="dxa"/>
            <w:vMerge/>
            <w:tcBorders>
              <w:top w:val="nil"/>
              <w:left w:val="single" w:sz="8" w:space="0" w:color="000000"/>
              <w:bottom w:val="single" w:sz="8" w:space="0" w:color="000000"/>
              <w:right w:val="single" w:sz="8" w:space="0" w:color="000000"/>
            </w:tcBorders>
            <w:shd w:val="clear" w:color="auto" w:fill="FFC4D4"/>
            <w:vAlign w:val="center"/>
          </w:tcPr>
          <w:p w14:paraId="6A670EF7" w14:textId="77777777" w:rsidR="006041CA" w:rsidRDefault="006041CA">
            <w:pPr>
              <w:widowControl w:val="0"/>
              <w:pBdr>
                <w:top w:val="nil"/>
                <w:left w:val="nil"/>
                <w:bottom w:val="nil"/>
                <w:right w:val="nil"/>
                <w:between w:val="nil"/>
              </w:pBdr>
              <w:spacing w:after="0" w:line="276" w:lineRule="auto"/>
              <w:rPr>
                <w:color w:val="000000"/>
              </w:rPr>
            </w:pPr>
          </w:p>
        </w:tc>
        <w:tc>
          <w:tcPr>
            <w:tcW w:w="3097" w:type="dxa"/>
            <w:vMerge/>
            <w:tcBorders>
              <w:top w:val="nil"/>
              <w:left w:val="single" w:sz="8" w:space="0" w:color="000000"/>
              <w:bottom w:val="single" w:sz="8" w:space="0" w:color="000000"/>
              <w:right w:val="single" w:sz="8" w:space="0" w:color="000000"/>
            </w:tcBorders>
            <w:shd w:val="clear" w:color="auto" w:fill="FFFFFF"/>
            <w:vAlign w:val="center"/>
          </w:tcPr>
          <w:p w14:paraId="0EB60C13" w14:textId="77777777" w:rsidR="006041CA" w:rsidRDefault="006041CA">
            <w:pPr>
              <w:widowControl w:val="0"/>
              <w:pBdr>
                <w:top w:val="nil"/>
                <w:left w:val="nil"/>
                <w:bottom w:val="nil"/>
                <w:right w:val="nil"/>
                <w:between w:val="nil"/>
              </w:pBdr>
              <w:spacing w:after="0" w:line="276" w:lineRule="auto"/>
              <w:rPr>
                <w:color w:val="000000"/>
              </w:rPr>
            </w:pPr>
          </w:p>
        </w:tc>
      </w:tr>
      <w:tr w:rsidR="006041CA" w14:paraId="34892193" w14:textId="77777777">
        <w:trPr>
          <w:trHeight w:val="315"/>
        </w:trPr>
        <w:tc>
          <w:tcPr>
            <w:tcW w:w="3087" w:type="dxa"/>
            <w:tcBorders>
              <w:top w:val="nil"/>
              <w:left w:val="single" w:sz="8" w:space="0" w:color="000000"/>
              <w:bottom w:val="single" w:sz="8" w:space="0" w:color="000000"/>
              <w:right w:val="single" w:sz="8" w:space="0" w:color="000000"/>
            </w:tcBorders>
            <w:shd w:val="clear" w:color="auto" w:fill="6C0C4C"/>
            <w:vAlign w:val="center"/>
          </w:tcPr>
          <w:p w14:paraId="2762D6C1" w14:textId="77777777" w:rsidR="006041CA" w:rsidRDefault="001271CC">
            <w:pPr>
              <w:spacing w:after="120" w:line="360" w:lineRule="auto"/>
              <w:jc w:val="center"/>
              <w:rPr>
                <w:b/>
                <w:color w:val="FFFFFF"/>
              </w:rPr>
            </w:pPr>
            <w:r>
              <w:rPr>
                <w:b/>
                <w:color w:val="FFFFFF"/>
              </w:rPr>
              <w:t>Amenazas</w:t>
            </w:r>
          </w:p>
        </w:tc>
        <w:tc>
          <w:tcPr>
            <w:tcW w:w="3778" w:type="dxa"/>
            <w:tcBorders>
              <w:top w:val="nil"/>
              <w:left w:val="nil"/>
              <w:bottom w:val="single" w:sz="8" w:space="0" w:color="000000"/>
              <w:right w:val="single" w:sz="8" w:space="0" w:color="000000"/>
            </w:tcBorders>
            <w:shd w:val="clear" w:color="auto" w:fill="6C0C4C"/>
            <w:vAlign w:val="center"/>
          </w:tcPr>
          <w:p w14:paraId="15D57FC2" w14:textId="77777777" w:rsidR="006041CA" w:rsidRDefault="001271CC">
            <w:pPr>
              <w:spacing w:after="120" w:line="360" w:lineRule="auto"/>
              <w:jc w:val="center"/>
              <w:rPr>
                <w:b/>
                <w:color w:val="FFFFFF"/>
              </w:rPr>
            </w:pPr>
            <w:r>
              <w:rPr>
                <w:b/>
                <w:color w:val="FFFFFF"/>
              </w:rPr>
              <w:t>Recomendaciones FA:</w:t>
            </w:r>
          </w:p>
        </w:tc>
        <w:tc>
          <w:tcPr>
            <w:tcW w:w="3097" w:type="dxa"/>
            <w:tcBorders>
              <w:top w:val="nil"/>
              <w:left w:val="nil"/>
              <w:bottom w:val="single" w:sz="8" w:space="0" w:color="000000"/>
              <w:right w:val="single" w:sz="8" w:space="0" w:color="000000"/>
            </w:tcBorders>
            <w:shd w:val="clear" w:color="auto" w:fill="6C0C4C"/>
            <w:vAlign w:val="center"/>
          </w:tcPr>
          <w:p w14:paraId="3A93008E" w14:textId="77777777" w:rsidR="006041CA" w:rsidRDefault="001271CC">
            <w:pPr>
              <w:spacing w:after="120" w:line="360" w:lineRule="auto"/>
              <w:jc w:val="center"/>
              <w:rPr>
                <w:b/>
                <w:color w:val="FFFFFF"/>
              </w:rPr>
            </w:pPr>
            <w:r>
              <w:rPr>
                <w:b/>
                <w:color w:val="FFFFFF"/>
              </w:rPr>
              <w:t>Recomendaciones DA:</w:t>
            </w:r>
          </w:p>
        </w:tc>
      </w:tr>
      <w:tr w:rsidR="006041CA" w14:paraId="5A1D226C" w14:textId="77777777">
        <w:trPr>
          <w:trHeight w:val="523"/>
        </w:trPr>
        <w:tc>
          <w:tcPr>
            <w:tcW w:w="3087" w:type="dxa"/>
            <w:vMerge w:val="restart"/>
            <w:tcBorders>
              <w:top w:val="nil"/>
              <w:left w:val="single" w:sz="8" w:space="0" w:color="000000"/>
              <w:bottom w:val="single" w:sz="8" w:space="0" w:color="000000"/>
              <w:right w:val="single" w:sz="8" w:space="0" w:color="000000"/>
            </w:tcBorders>
            <w:shd w:val="clear" w:color="auto" w:fill="FFFFFF"/>
            <w:vAlign w:val="center"/>
          </w:tcPr>
          <w:p w14:paraId="0BD9E404" w14:textId="77777777" w:rsidR="006041CA" w:rsidRDefault="001271CC">
            <w:pPr>
              <w:spacing w:after="120" w:line="360" w:lineRule="auto"/>
              <w:jc w:val="center"/>
              <w:rPr>
                <w:color w:val="000000"/>
              </w:rPr>
            </w:pPr>
            <w:r>
              <w:rPr>
                <w:color w:val="000000"/>
              </w:rPr>
              <w:t>No se identifican Amenazas.</w:t>
            </w:r>
          </w:p>
        </w:tc>
        <w:tc>
          <w:tcPr>
            <w:tcW w:w="3778" w:type="dxa"/>
            <w:vMerge w:val="restart"/>
            <w:tcBorders>
              <w:top w:val="nil"/>
              <w:left w:val="single" w:sz="8" w:space="0" w:color="000000"/>
              <w:bottom w:val="single" w:sz="8" w:space="0" w:color="000000"/>
              <w:right w:val="single" w:sz="8" w:space="0" w:color="000000"/>
            </w:tcBorders>
            <w:shd w:val="clear" w:color="auto" w:fill="FFFFFF"/>
            <w:vAlign w:val="center"/>
          </w:tcPr>
          <w:p w14:paraId="410D183D" w14:textId="77777777" w:rsidR="006041CA" w:rsidRDefault="001271CC">
            <w:pPr>
              <w:spacing w:after="120" w:line="360" w:lineRule="auto"/>
              <w:jc w:val="center"/>
              <w:rPr>
                <w:color w:val="000000"/>
              </w:rPr>
            </w:pPr>
            <w:r>
              <w:rPr>
                <w:color w:val="000000"/>
              </w:rPr>
              <w:t>No se especifican recomendaciones en este cruce de análisis.</w:t>
            </w:r>
          </w:p>
        </w:tc>
        <w:tc>
          <w:tcPr>
            <w:tcW w:w="3097" w:type="dxa"/>
            <w:vMerge w:val="restart"/>
            <w:tcBorders>
              <w:top w:val="nil"/>
              <w:left w:val="single" w:sz="8" w:space="0" w:color="000000"/>
              <w:bottom w:val="single" w:sz="8" w:space="0" w:color="000000"/>
              <w:right w:val="single" w:sz="8" w:space="0" w:color="000000"/>
            </w:tcBorders>
            <w:shd w:val="clear" w:color="auto" w:fill="FFFFFF"/>
            <w:vAlign w:val="center"/>
          </w:tcPr>
          <w:p w14:paraId="2E67AB23" w14:textId="77777777" w:rsidR="006041CA" w:rsidRDefault="001271CC">
            <w:pPr>
              <w:spacing w:after="120" w:line="360" w:lineRule="auto"/>
              <w:jc w:val="center"/>
              <w:rPr>
                <w:color w:val="000000"/>
              </w:rPr>
            </w:pPr>
            <w:r>
              <w:rPr>
                <w:color w:val="000000"/>
              </w:rPr>
              <w:t>No se especifican recomendaciones en este cruce de análisis.</w:t>
            </w:r>
          </w:p>
        </w:tc>
      </w:tr>
      <w:tr w:rsidR="006041CA" w14:paraId="2F1B8D92" w14:textId="77777777">
        <w:trPr>
          <w:trHeight w:val="523"/>
        </w:trPr>
        <w:tc>
          <w:tcPr>
            <w:tcW w:w="3087" w:type="dxa"/>
            <w:vMerge/>
            <w:tcBorders>
              <w:top w:val="nil"/>
              <w:left w:val="single" w:sz="8" w:space="0" w:color="000000"/>
              <w:bottom w:val="single" w:sz="8" w:space="0" w:color="000000"/>
              <w:right w:val="single" w:sz="8" w:space="0" w:color="000000"/>
            </w:tcBorders>
            <w:shd w:val="clear" w:color="auto" w:fill="FFFFFF"/>
            <w:vAlign w:val="center"/>
          </w:tcPr>
          <w:p w14:paraId="2ABE78BB" w14:textId="77777777" w:rsidR="006041CA" w:rsidRDefault="006041CA">
            <w:pPr>
              <w:widowControl w:val="0"/>
              <w:pBdr>
                <w:top w:val="nil"/>
                <w:left w:val="nil"/>
                <w:bottom w:val="nil"/>
                <w:right w:val="nil"/>
                <w:between w:val="nil"/>
              </w:pBdr>
              <w:spacing w:after="0" w:line="276" w:lineRule="auto"/>
              <w:rPr>
                <w:color w:val="000000"/>
              </w:rPr>
            </w:pPr>
          </w:p>
        </w:tc>
        <w:tc>
          <w:tcPr>
            <w:tcW w:w="3778" w:type="dxa"/>
            <w:vMerge/>
            <w:tcBorders>
              <w:top w:val="nil"/>
              <w:left w:val="single" w:sz="8" w:space="0" w:color="000000"/>
              <w:bottom w:val="single" w:sz="8" w:space="0" w:color="000000"/>
              <w:right w:val="single" w:sz="8" w:space="0" w:color="000000"/>
            </w:tcBorders>
            <w:shd w:val="clear" w:color="auto" w:fill="FFFFFF"/>
            <w:vAlign w:val="center"/>
          </w:tcPr>
          <w:p w14:paraId="682A5C32" w14:textId="77777777" w:rsidR="006041CA" w:rsidRDefault="006041CA">
            <w:pPr>
              <w:widowControl w:val="0"/>
              <w:pBdr>
                <w:top w:val="nil"/>
                <w:left w:val="nil"/>
                <w:bottom w:val="nil"/>
                <w:right w:val="nil"/>
                <w:between w:val="nil"/>
              </w:pBdr>
              <w:spacing w:after="0" w:line="276" w:lineRule="auto"/>
              <w:rPr>
                <w:color w:val="000000"/>
              </w:rPr>
            </w:pPr>
          </w:p>
        </w:tc>
        <w:tc>
          <w:tcPr>
            <w:tcW w:w="3097" w:type="dxa"/>
            <w:vMerge/>
            <w:tcBorders>
              <w:top w:val="nil"/>
              <w:left w:val="single" w:sz="8" w:space="0" w:color="000000"/>
              <w:bottom w:val="single" w:sz="8" w:space="0" w:color="000000"/>
              <w:right w:val="single" w:sz="8" w:space="0" w:color="000000"/>
            </w:tcBorders>
            <w:shd w:val="clear" w:color="auto" w:fill="FFFFFF"/>
            <w:vAlign w:val="center"/>
          </w:tcPr>
          <w:p w14:paraId="3C1FE832" w14:textId="77777777" w:rsidR="006041CA" w:rsidRDefault="006041CA">
            <w:pPr>
              <w:widowControl w:val="0"/>
              <w:pBdr>
                <w:top w:val="nil"/>
                <w:left w:val="nil"/>
                <w:bottom w:val="nil"/>
                <w:right w:val="nil"/>
                <w:between w:val="nil"/>
              </w:pBdr>
              <w:spacing w:after="0" w:line="276" w:lineRule="auto"/>
              <w:rPr>
                <w:color w:val="000000"/>
              </w:rPr>
            </w:pPr>
          </w:p>
        </w:tc>
      </w:tr>
    </w:tbl>
    <w:p w14:paraId="4F12F7D9" w14:textId="77777777" w:rsidR="006041CA" w:rsidRDefault="006041CA">
      <w:pPr>
        <w:spacing w:after="120" w:line="360" w:lineRule="auto"/>
      </w:pPr>
    </w:p>
    <w:p w14:paraId="25BB298F" w14:textId="77777777" w:rsidR="006041CA" w:rsidRDefault="001271CC">
      <w:pPr>
        <w:spacing w:after="120" w:line="360" w:lineRule="auto"/>
      </w:pPr>
      <w:r>
        <w:br w:type="page"/>
      </w:r>
    </w:p>
    <w:tbl>
      <w:tblPr>
        <w:tblStyle w:val="a6"/>
        <w:tblW w:w="9952" w:type="dxa"/>
        <w:tblInd w:w="0" w:type="dxa"/>
        <w:tblLayout w:type="fixed"/>
        <w:tblLook w:val="0400" w:firstRow="0" w:lastRow="0" w:firstColumn="0" w:lastColumn="0" w:noHBand="0" w:noVBand="1"/>
      </w:tblPr>
      <w:tblGrid>
        <w:gridCol w:w="2977"/>
        <w:gridCol w:w="3938"/>
        <w:gridCol w:w="3037"/>
      </w:tblGrid>
      <w:tr w:rsidR="006041CA" w14:paraId="6D5361BD" w14:textId="77777777">
        <w:trPr>
          <w:trHeight w:val="315"/>
        </w:trPr>
        <w:tc>
          <w:tcPr>
            <w:tcW w:w="995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83611BE" w14:textId="77777777" w:rsidR="006041CA" w:rsidRDefault="001271CC">
            <w:pPr>
              <w:spacing w:after="120" w:line="360" w:lineRule="auto"/>
              <w:rPr>
                <w:b/>
                <w:color w:val="000000"/>
              </w:rPr>
            </w:pPr>
            <w:r>
              <w:rPr>
                <w:b/>
                <w:color w:val="000000"/>
              </w:rPr>
              <w:t>Matriz FODA: Seguimiento a los Aspectos Susceptibles de Mejora</w:t>
            </w:r>
          </w:p>
        </w:tc>
      </w:tr>
      <w:tr w:rsidR="006041CA" w14:paraId="337F6ACA" w14:textId="77777777">
        <w:trPr>
          <w:trHeight w:val="300"/>
        </w:trPr>
        <w:tc>
          <w:tcPr>
            <w:tcW w:w="2977" w:type="dxa"/>
            <w:tcBorders>
              <w:top w:val="nil"/>
              <w:left w:val="single" w:sz="8" w:space="0" w:color="000000"/>
              <w:bottom w:val="nil"/>
              <w:right w:val="single" w:sz="8" w:space="0" w:color="000000"/>
            </w:tcBorders>
            <w:shd w:val="clear" w:color="auto" w:fill="6C0C4C"/>
            <w:tcMar>
              <w:top w:w="15" w:type="dxa"/>
              <w:left w:w="15" w:type="dxa"/>
              <w:bottom w:w="0" w:type="dxa"/>
              <w:right w:w="15" w:type="dxa"/>
            </w:tcMar>
            <w:vAlign w:val="center"/>
          </w:tcPr>
          <w:p w14:paraId="32D986F2" w14:textId="77777777" w:rsidR="006041CA" w:rsidRDefault="001271CC">
            <w:pPr>
              <w:spacing w:after="120" w:line="360" w:lineRule="auto"/>
              <w:jc w:val="right"/>
              <w:rPr>
                <w:b/>
                <w:color w:val="FFFFFF"/>
              </w:rPr>
            </w:pPr>
            <w:r>
              <w:rPr>
                <w:b/>
                <w:color w:val="FFFFFF"/>
              </w:rPr>
              <w:t>Factores internos</w:t>
            </w:r>
          </w:p>
        </w:tc>
        <w:tc>
          <w:tcPr>
            <w:tcW w:w="3938" w:type="dxa"/>
            <w:vMerge w:val="restart"/>
            <w:tcBorders>
              <w:top w:val="nil"/>
              <w:left w:val="single" w:sz="8" w:space="0" w:color="000000"/>
              <w:bottom w:val="single" w:sz="8" w:space="0" w:color="000000"/>
              <w:right w:val="single" w:sz="8" w:space="0" w:color="000000"/>
            </w:tcBorders>
            <w:shd w:val="clear" w:color="auto" w:fill="6C0C4C"/>
            <w:tcMar>
              <w:top w:w="15" w:type="dxa"/>
              <w:left w:w="15" w:type="dxa"/>
              <w:bottom w:w="0" w:type="dxa"/>
              <w:right w:w="15" w:type="dxa"/>
            </w:tcMar>
            <w:vAlign w:val="center"/>
          </w:tcPr>
          <w:p w14:paraId="5E1AD258" w14:textId="77777777" w:rsidR="006041CA" w:rsidRDefault="001271CC">
            <w:pPr>
              <w:spacing w:after="120" w:line="360" w:lineRule="auto"/>
              <w:jc w:val="center"/>
              <w:rPr>
                <w:b/>
                <w:color w:val="FFFFFF"/>
              </w:rPr>
            </w:pPr>
            <w:r>
              <w:rPr>
                <w:b/>
                <w:color w:val="FFFFFF"/>
              </w:rPr>
              <w:t>Fortalezas</w:t>
            </w:r>
          </w:p>
        </w:tc>
        <w:tc>
          <w:tcPr>
            <w:tcW w:w="3037" w:type="dxa"/>
            <w:vMerge w:val="restart"/>
            <w:tcBorders>
              <w:top w:val="nil"/>
              <w:left w:val="single" w:sz="8" w:space="0" w:color="000000"/>
              <w:bottom w:val="single" w:sz="8" w:space="0" w:color="000000"/>
              <w:right w:val="single" w:sz="8" w:space="0" w:color="000000"/>
            </w:tcBorders>
            <w:shd w:val="clear" w:color="auto" w:fill="6C0C4C"/>
            <w:tcMar>
              <w:top w:w="15" w:type="dxa"/>
              <w:left w:w="15" w:type="dxa"/>
              <w:bottom w:w="0" w:type="dxa"/>
              <w:right w:w="15" w:type="dxa"/>
            </w:tcMar>
            <w:vAlign w:val="center"/>
          </w:tcPr>
          <w:p w14:paraId="46047168" w14:textId="77777777" w:rsidR="006041CA" w:rsidRDefault="001271CC">
            <w:pPr>
              <w:spacing w:after="120" w:line="360" w:lineRule="auto"/>
              <w:jc w:val="center"/>
              <w:rPr>
                <w:b/>
                <w:color w:val="FFFFFF"/>
              </w:rPr>
            </w:pPr>
            <w:r>
              <w:rPr>
                <w:b/>
                <w:color w:val="FFFFFF"/>
              </w:rPr>
              <w:t>Debilidades</w:t>
            </w:r>
          </w:p>
        </w:tc>
      </w:tr>
      <w:tr w:rsidR="006041CA" w14:paraId="1864CBD7" w14:textId="77777777">
        <w:trPr>
          <w:trHeight w:val="300"/>
        </w:trPr>
        <w:tc>
          <w:tcPr>
            <w:tcW w:w="2977" w:type="dxa"/>
            <w:tcBorders>
              <w:top w:val="nil"/>
              <w:left w:val="single" w:sz="8" w:space="0" w:color="000000"/>
              <w:bottom w:val="nil"/>
              <w:right w:val="single" w:sz="8" w:space="0" w:color="000000"/>
            </w:tcBorders>
            <w:shd w:val="clear" w:color="auto" w:fill="6C0C4C"/>
            <w:tcMar>
              <w:top w:w="15" w:type="dxa"/>
              <w:left w:w="15" w:type="dxa"/>
              <w:bottom w:w="0" w:type="dxa"/>
              <w:right w:w="15" w:type="dxa"/>
            </w:tcMar>
            <w:vAlign w:val="center"/>
          </w:tcPr>
          <w:p w14:paraId="3A309037" w14:textId="77777777" w:rsidR="006041CA" w:rsidRDefault="001271CC">
            <w:pPr>
              <w:spacing w:after="120" w:line="360" w:lineRule="auto"/>
              <w:rPr>
                <w:b/>
                <w:color w:val="FFFFFF"/>
              </w:rPr>
            </w:pPr>
            <w:r>
              <w:rPr>
                <w:b/>
                <w:color w:val="FFFFFF"/>
              </w:rPr>
              <w:t> </w:t>
            </w:r>
          </w:p>
        </w:tc>
        <w:tc>
          <w:tcPr>
            <w:tcW w:w="3938" w:type="dxa"/>
            <w:vMerge/>
            <w:tcBorders>
              <w:top w:val="nil"/>
              <w:left w:val="single" w:sz="8" w:space="0" w:color="000000"/>
              <w:bottom w:val="single" w:sz="8" w:space="0" w:color="000000"/>
              <w:right w:val="single" w:sz="8" w:space="0" w:color="000000"/>
            </w:tcBorders>
            <w:shd w:val="clear" w:color="auto" w:fill="6C0C4C"/>
            <w:tcMar>
              <w:top w:w="15" w:type="dxa"/>
              <w:left w:w="15" w:type="dxa"/>
              <w:bottom w:w="0" w:type="dxa"/>
              <w:right w:w="15" w:type="dxa"/>
            </w:tcMar>
            <w:vAlign w:val="center"/>
          </w:tcPr>
          <w:p w14:paraId="741956BC" w14:textId="77777777" w:rsidR="006041CA" w:rsidRDefault="006041CA">
            <w:pPr>
              <w:widowControl w:val="0"/>
              <w:pBdr>
                <w:top w:val="nil"/>
                <w:left w:val="nil"/>
                <w:bottom w:val="nil"/>
                <w:right w:val="nil"/>
                <w:between w:val="nil"/>
              </w:pBdr>
              <w:spacing w:after="0" w:line="276" w:lineRule="auto"/>
              <w:rPr>
                <w:b/>
                <w:color w:val="FFFFFF"/>
              </w:rPr>
            </w:pPr>
          </w:p>
        </w:tc>
        <w:tc>
          <w:tcPr>
            <w:tcW w:w="3037" w:type="dxa"/>
            <w:vMerge/>
            <w:tcBorders>
              <w:top w:val="nil"/>
              <w:left w:val="single" w:sz="8" w:space="0" w:color="000000"/>
              <w:bottom w:val="single" w:sz="8" w:space="0" w:color="000000"/>
              <w:right w:val="single" w:sz="8" w:space="0" w:color="000000"/>
            </w:tcBorders>
            <w:shd w:val="clear" w:color="auto" w:fill="6C0C4C"/>
            <w:tcMar>
              <w:top w:w="15" w:type="dxa"/>
              <w:left w:w="15" w:type="dxa"/>
              <w:bottom w:w="0" w:type="dxa"/>
              <w:right w:w="15" w:type="dxa"/>
            </w:tcMar>
            <w:vAlign w:val="center"/>
          </w:tcPr>
          <w:p w14:paraId="0B215273" w14:textId="77777777" w:rsidR="006041CA" w:rsidRDefault="006041CA">
            <w:pPr>
              <w:widowControl w:val="0"/>
              <w:pBdr>
                <w:top w:val="nil"/>
                <w:left w:val="nil"/>
                <w:bottom w:val="nil"/>
                <w:right w:val="nil"/>
                <w:between w:val="nil"/>
              </w:pBdr>
              <w:spacing w:after="0" w:line="276" w:lineRule="auto"/>
              <w:rPr>
                <w:b/>
                <w:color w:val="FFFFFF"/>
              </w:rPr>
            </w:pPr>
          </w:p>
        </w:tc>
      </w:tr>
      <w:tr w:rsidR="006041CA" w14:paraId="5D8C3725" w14:textId="77777777">
        <w:trPr>
          <w:trHeight w:val="315"/>
        </w:trPr>
        <w:tc>
          <w:tcPr>
            <w:tcW w:w="2977" w:type="dxa"/>
            <w:tcBorders>
              <w:top w:val="nil"/>
              <w:left w:val="single" w:sz="8" w:space="0" w:color="000000"/>
              <w:bottom w:val="nil"/>
              <w:right w:val="single" w:sz="8" w:space="0" w:color="000000"/>
            </w:tcBorders>
            <w:shd w:val="clear" w:color="auto" w:fill="6C0C4C"/>
            <w:tcMar>
              <w:top w:w="15" w:type="dxa"/>
              <w:left w:w="15" w:type="dxa"/>
              <w:bottom w:w="0" w:type="dxa"/>
              <w:right w:w="15" w:type="dxa"/>
            </w:tcMar>
            <w:vAlign w:val="center"/>
          </w:tcPr>
          <w:p w14:paraId="6DECA436" w14:textId="77777777" w:rsidR="006041CA" w:rsidRDefault="001271CC">
            <w:pPr>
              <w:spacing w:after="120" w:line="360" w:lineRule="auto"/>
              <w:rPr>
                <w:b/>
                <w:color w:val="FFFFFF"/>
              </w:rPr>
            </w:pPr>
            <w:r>
              <w:rPr>
                <w:b/>
                <w:color w:val="FFFFFF"/>
              </w:rPr>
              <w:t> </w:t>
            </w:r>
          </w:p>
        </w:tc>
        <w:tc>
          <w:tcPr>
            <w:tcW w:w="3938" w:type="dxa"/>
            <w:vMerge/>
            <w:tcBorders>
              <w:top w:val="nil"/>
              <w:left w:val="single" w:sz="8" w:space="0" w:color="000000"/>
              <w:bottom w:val="single" w:sz="8" w:space="0" w:color="000000"/>
              <w:right w:val="single" w:sz="8" w:space="0" w:color="000000"/>
            </w:tcBorders>
            <w:shd w:val="clear" w:color="auto" w:fill="6C0C4C"/>
            <w:tcMar>
              <w:top w:w="15" w:type="dxa"/>
              <w:left w:w="15" w:type="dxa"/>
              <w:bottom w:w="0" w:type="dxa"/>
              <w:right w:w="15" w:type="dxa"/>
            </w:tcMar>
            <w:vAlign w:val="center"/>
          </w:tcPr>
          <w:p w14:paraId="2A6492CC" w14:textId="77777777" w:rsidR="006041CA" w:rsidRDefault="006041CA">
            <w:pPr>
              <w:widowControl w:val="0"/>
              <w:pBdr>
                <w:top w:val="nil"/>
                <w:left w:val="nil"/>
                <w:bottom w:val="nil"/>
                <w:right w:val="nil"/>
                <w:between w:val="nil"/>
              </w:pBdr>
              <w:spacing w:after="0" w:line="276" w:lineRule="auto"/>
              <w:rPr>
                <w:b/>
                <w:color w:val="FFFFFF"/>
              </w:rPr>
            </w:pPr>
          </w:p>
        </w:tc>
        <w:tc>
          <w:tcPr>
            <w:tcW w:w="3037" w:type="dxa"/>
            <w:vMerge/>
            <w:tcBorders>
              <w:top w:val="nil"/>
              <w:left w:val="single" w:sz="8" w:space="0" w:color="000000"/>
              <w:bottom w:val="single" w:sz="8" w:space="0" w:color="000000"/>
              <w:right w:val="single" w:sz="8" w:space="0" w:color="000000"/>
            </w:tcBorders>
            <w:shd w:val="clear" w:color="auto" w:fill="6C0C4C"/>
            <w:tcMar>
              <w:top w:w="15" w:type="dxa"/>
              <w:left w:w="15" w:type="dxa"/>
              <w:bottom w:w="0" w:type="dxa"/>
              <w:right w:w="15" w:type="dxa"/>
            </w:tcMar>
            <w:vAlign w:val="center"/>
          </w:tcPr>
          <w:p w14:paraId="6F60543A" w14:textId="77777777" w:rsidR="006041CA" w:rsidRDefault="006041CA">
            <w:pPr>
              <w:widowControl w:val="0"/>
              <w:pBdr>
                <w:top w:val="nil"/>
                <w:left w:val="nil"/>
                <w:bottom w:val="nil"/>
                <w:right w:val="nil"/>
                <w:between w:val="nil"/>
              </w:pBdr>
              <w:spacing w:after="0" w:line="276" w:lineRule="auto"/>
              <w:rPr>
                <w:b/>
                <w:color w:val="FFFFFF"/>
              </w:rPr>
            </w:pPr>
          </w:p>
        </w:tc>
      </w:tr>
      <w:tr w:rsidR="006041CA" w14:paraId="6AAFFF12" w14:textId="77777777">
        <w:trPr>
          <w:trHeight w:val="915"/>
        </w:trPr>
        <w:tc>
          <w:tcPr>
            <w:tcW w:w="2977" w:type="dxa"/>
            <w:tcBorders>
              <w:top w:val="nil"/>
              <w:left w:val="single" w:sz="8" w:space="0" w:color="000000"/>
              <w:bottom w:val="nil"/>
              <w:right w:val="single" w:sz="8" w:space="0" w:color="000000"/>
            </w:tcBorders>
            <w:shd w:val="clear" w:color="auto" w:fill="6C0C4C"/>
            <w:tcMar>
              <w:top w:w="15" w:type="dxa"/>
              <w:left w:w="15" w:type="dxa"/>
              <w:bottom w:w="0" w:type="dxa"/>
              <w:right w:w="15" w:type="dxa"/>
            </w:tcMar>
            <w:vAlign w:val="center"/>
          </w:tcPr>
          <w:p w14:paraId="672C6CDE" w14:textId="77777777" w:rsidR="006041CA" w:rsidRDefault="001271CC">
            <w:pPr>
              <w:spacing w:after="120" w:line="360" w:lineRule="auto"/>
              <w:rPr>
                <w:b/>
                <w:color w:val="FFFFFF"/>
              </w:rPr>
            </w:pPr>
            <w:r>
              <w:rPr>
                <w:b/>
                <w:color w:val="FFFFFF"/>
              </w:rPr>
              <w:t> </w:t>
            </w:r>
          </w:p>
        </w:tc>
        <w:tc>
          <w:tcPr>
            <w:tcW w:w="3938"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2E59661A" w14:textId="77777777" w:rsidR="006041CA" w:rsidRDefault="001271CC">
            <w:pPr>
              <w:spacing w:after="120" w:line="360" w:lineRule="auto"/>
              <w:rPr>
                <w:color w:val="000000"/>
              </w:rPr>
            </w:pPr>
            <w:r>
              <w:rPr>
                <w:color w:val="000000"/>
              </w:rPr>
              <w:t>Se cuenta con Formatos de seguimiento y control de los ASM aceptados en el documento de Posición Institucional.</w:t>
            </w:r>
          </w:p>
        </w:tc>
        <w:tc>
          <w:tcPr>
            <w:tcW w:w="3037" w:type="dxa"/>
            <w:vMerge w:val="restart"/>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6AECB0A" w14:textId="77777777" w:rsidR="006041CA" w:rsidRDefault="001271CC">
            <w:pPr>
              <w:spacing w:after="120" w:line="360" w:lineRule="auto"/>
              <w:jc w:val="center"/>
              <w:rPr>
                <w:color w:val="000000"/>
              </w:rPr>
            </w:pPr>
            <w:r>
              <w:rPr>
                <w:color w:val="000000"/>
              </w:rPr>
              <w:t>No se identifican Debilidades.</w:t>
            </w:r>
          </w:p>
        </w:tc>
      </w:tr>
      <w:tr w:rsidR="006041CA" w14:paraId="70998622" w14:textId="77777777">
        <w:trPr>
          <w:trHeight w:val="915"/>
        </w:trPr>
        <w:tc>
          <w:tcPr>
            <w:tcW w:w="2977" w:type="dxa"/>
            <w:tcBorders>
              <w:top w:val="nil"/>
              <w:left w:val="single" w:sz="8" w:space="0" w:color="000000"/>
              <w:bottom w:val="single" w:sz="8" w:space="0" w:color="000000"/>
              <w:right w:val="single" w:sz="8" w:space="0" w:color="000000"/>
            </w:tcBorders>
            <w:shd w:val="clear" w:color="auto" w:fill="6C0C4C"/>
            <w:tcMar>
              <w:top w:w="15" w:type="dxa"/>
              <w:left w:w="15" w:type="dxa"/>
              <w:bottom w:w="0" w:type="dxa"/>
              <w:right w:w="15" w:type="dxa"/>
            </w:tcMar>
            <w:vAlign w:val="center"/>
          </w:tcPr>
          <w:p w14:paraId="7CD93778" w14:textId="77777777" w:rsidR="006041CA" w:rsidRDefault="001271CC">
            <w:pPr>
              <w:spacing w:after="120" w:line="360" w:lineRule="auto"/>
              <w:rPr>
                <w:b/>
                <w:color w:val="FFFFFF"/>
              </w:rPr>
            </w:pPr>
            <w:r>
              <w:rPr>
                <w:b/>
                <w:color w:val="FFFFFF"/>
              </w:rPr>
              <w:t>Factores externos</w:t>
            </w:r>
          </w:p>
        </w:tc>
        <w:tc>
          <w:tcPr>
            <w:tcW w:w="3938"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3431DFF2" w14:textId="77777777" w:rsidR="006041CA" w:rsidRDefault="001271CC">
            <w:pPr>
              <w:spacing w:after="120" w:line="360" w:lineRule="auto"/>
              <w:rPr>
                <w:color w:val="000000"/>
              </w:rPr>
            </w:pPr>
            <w:r>
              <w:rPr>
                <w:color w:val="000000"/>
              </w:rPr>
              <w:t>En los formatos de seguimiento de atención de los ASM es posible identificar las Actividades a realizar para atender los ASM definidos.</w:t>
            </w:r>
          </w:p>
        </w:tc>
        <w:tc>
          <w:tcPr>
            <w:tcW w:w="3037"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869095F" w14:textId="77777777" w:rsidR="006041CA" w:rsidRDefault="006041CA">
            <w:pPr>
              <w:widowControl w:val="0"/>
              <w:pBdr>
                <w:top w:val="nil"/>
                <w:left w:val="nil"/>
                <w:bottom w:val="nil"/>
                <w:right w:val="nil"/>
                <w:between w:val="nil"/>
              </w:pBdr>
              <w:spacing w:after="0" w:line="276" w:lineRule="auto"/>
              <w:rPr>
                <w:color w:val="000000"/>
              </w:rPr>
            </w:pPr>
          </w:p>
        </w:tc>
      </w:tr>
      <w:tr w:rsidR="006041CA" w14:paraId="0728832C" w14:textId="77777777">
        <w:trPr>
          <w:trHeight w:val="315"/>
        </w:trPr>
        <w:tc>
          <w:tcPr>
            <w:tcW w:w="2977" w:type="dxa"/>
            <w:tcBorders>
              <w:top w:val="nil"/>
              <w:left w:val="single" w:sz="8" w:space="0" w:color="000000"/>
              <w:bottom w:val="single" w:sz="8" w:space="0" w:color="000000"/>
              <w:right w:val="single" w:sz="8" w:space="0" w:color="000000"/>
            </w:tcBorders>
            <w:shd w:val="clear" w:color="auto" w:fill="6C0C4C"/>
            <w:tcMar>
              <w:top w:w="15" w:type="dxa"/>
              <w:left w:w="15" w:type="dxa"/>
              <w:bottom w:w="0" w:type="dxa"/>
              <w:right w:w="15" w:type="dxa"/>
            </w:tcMar>
            <w:vAlign w:val="center"/>
          </w:tcPr>
          <w:p w14:paraId="4CBBB3AC" w14:textId="77777777" w:rsidR="006041CA" w:rsidRDefault="001271CC">
            <w:pPr>
              <w:spacing w:after="120" w:line="360" w:lineRule="auto"/>
              <w:jc w:val="center"/>
              <w:rPr>
                <w:b/>
                <w:color w:val="FFFFFF"/>
              </w:rPr>
            </w:pPr>
            <w:r>
              <w:rPr>
                <w:b/>
                <w:color w:val="FFFFFF"/>
              </w:rPr>
              <w:t>Oportunidades</w:t>
            </w:r>
          </w:p>
        </w:tc>
        <w:tc>
          <w:tcPr>
            <w:tcW w:w="3938" w:type="dxa"/>
            <w:vMerge w:val="restart"/>
            <w:tcBorders>
              <w:top w:val="nil"/>
              <w:left w:val="single" w:sz="8" w:space="0" w:color="000000"/>
              <w:bottom w:val="nil"/>
              <w:right w:val="single" w:sz="8" w:space="0" w:color="000000"/>
            </w:tcBorders>
            <w:shd w:val="clear" w:color="auto" w:fill="FFC4D4"/>
            <w:tcMar>
              <w:top w:w="15" w:type="dxa"/>
              <w:left w:w="15" w:type="dxa"/>
              <w:bottom w:w="0" w:type="dxa"/>
              <w:right w:w="15" w:type="dxa"/>
            </w:tcMar>
            <w:vAlign w:val="center"/>
          </w:tcPr>
          <w:p w14:paraId="57E8A7EC" w14:textId="77777777" w:rsidR="006041CA" w:rsidRDefault="001271CC">
            <w:pPr>
              <w:spacing w:after="120" w:line="360" w:lineRule="auto"/>
              <w:jc w:val="center"/>
              <w:rPr>
                <w:color w:val="000000"/>
              </w:rPr>
            </w:pPr>
            <w:r>
              <w:rPr>
                <w:color w:val="000000"/>
              </w:rPr>
              <w:t>FO: No aplican recomendaciones; sin embargo, la institución sí debe identificar estrategias en donde, mediante las fortalezas internas, se aproveche la ventaja de las oportunidades externas.</w:t>
            </w:r>
          </w:p>
        </w:tc>
        <w:tc>
          <w:tcPr>
            <w:tcW w:w="3037" w:type="dxa"/>
            <w:tcBorders>
              <w:top w:val="nil"/>
              <w:left w:val="nil"/>
              <w:bottom w:val="single" w:sz="8" w:space="0" w:color="000000"/>
              <w:right w:val="single" w:sz="8" w:space="0" w:color="000000"/>
            </w:tcBorders>
            <w:shd w:val="clear" w:color="auto" w:fill="6C0C4C"/>
            <w:tcMar>
              <w:top w:w="15" w:type="dxa"/>
              <w:left w:w="15" w:type="dxa"/>
              <w:bottom w:w="0" w:type="dxa"/>
              <w:right w:w="15" w:type="dxa"/>
            </w:tcMar>
            <w:vAlign w:val="center"/>
          </w:tcPr>
          <w:p w14:paraId="137EEBCB" w14:textId="77777777" w:rsidR="006041CA" w:rsidRDefault="001271CC">
            <w:pPr>
              <w:spacing w:after="120" w:line="360" w:lineRule="auto"/>
              <w:jc w:val="center"/>
              <w:rPr>
                <w:b/>
                <w:color w:val="FFFFFF"/>
              </w:rPr>
            </w:pPr>
            <w:r>
              <w:rPr>
                <w:b/>
                <w:color w:val="FFFFFF"/>
              </w:rPr>
              <w:t>Recomendaciones DO:</w:t>
            </w:r>
          </w:p>
        </w:tc>
      </w:tr>
      <w:tr w:rsidR="006041CA" w14:paraId="3443D096" w14:textId="77777777">
        <w:trPr>
          <w:trHeight w:val="523"/>
        </w:trPr>
        <w:tc>
          <w:tcPr>
            <w:tcW w:w="2977" w:type="dxa"/>
            <w:vMerge w:val="restart"/>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83CD9D8" w14:textId="77777777" w:rsidR="006041CA" w:rsidRDefault="001271CC">
            <w:pPr>
              <w:spacing w:after="120" w:line="360" w:lineRule="auto"/>
              <w:jc w:val="center"/>
              <w:rPr>
                <w:color w:val="000000"/>
              </w:rPr>
            </w:pPr>
            <w:r>
              <w:rPr>
                <w:color w:val="000000"/>
              </w:rPr>
              <w:t>No se identifican Oportunidades.</w:t>
            </w:r>
          </w:p>
        </w:tc>
        <w:tc>
          <w:tcPr>
            <w:tcW w:w="3938" w:type="dxa"/>
            <w:vMerge/>
            <w:tcBorders>
              <w:top w:val="nil"/>
              <w:left w:val="single" w:sz="8" w:space="0" w:color="000000"/>
              <w:bottom w:val="nil"/>
              <w:right w:val="single" w:sz="8" w:space="0" w:color="000000"/>
            </w:tcBorders>
            <w:shd w:val="clear" w:color="auto" w:fill="FFC4D4"/>
            <w:tcMar>
              <w:top w:w="15" w:type="dxa"/>
              <w:left w:w="15" w:type="dxa"/>
              <w:bottom w:w="0" w:type="dxa"/>
              <w:right w:w="15" w:type="dxa"/>
            </w:tcMar>
            <w:vAlign w:val="center"/>
          </w:tcPr>
          <w:p w14:paraId="117E096A" w14:textId="77777777" w:rsidR="006041CA" w:rsidRDefault="006041CA">
            <w:pPr>
              <w:widowControl w:val="0"/>
              <w:pBdr>
                <w:top w:val="nil"/>
                <w:left w:val="nil"/>
                <w:bottom w:val="nil"/>
                <w:right w:val="nil"/>
                <w:between w:val="nil"/>
              </w:pBdr>
              <w:spacing w:after="0" w:line="276" w:lineRule="auto"/>
              <w:rPr>
                <w:color w:val="000000"/>
              </w:rPr>
            </w:pPr>
          </w:p>
        </w:tc>
        <w:tc>
          <w:tcPr>
            <w:tcW w:w="3037" w:type="dxa"/>
            <w:vMerge w:val="restart"/>
            <w:tcBorders>
              <w:top w:val="nil"/>
              <w:left w:val="single" w:sz="8" w:space="0" w:color="000000"/>
              <w:bottom w:val="nil"/>
              <w:right w:val="single" w:sz="8" w:space="0" w:color="000000"/>
            </w:tcBorders>
            <w:shd w:val="clear" w:color="auto" w:fill="FFFFFF"/>
            <w:tcMar>
              <w:top w:w="15" w:type="dxa"/>
              <w:left w:w="15" w:type="dxa"/>
              <w:bottom w:w="0" w:type="dxa"/>
              <w:right w:w="15" w:type="dxa"/>
            </w:tcMar>
            <w:vAlign w:val="center"/>
          </w:tcPr>
          <w:p w14:paraId="2B3BE819" w14:textId="77777777" w:rsidR="006041CA" w:rsidRDefault="001271CC">
            <w:pPr>
              <w:spacing w:after="120" w:line="360" w:lineRule="auto"/>
              <w:jc w:val="center"/>
              <w:rPr>
                <w:color w:val="000000"/>
              </w:rPr>
            </w:pPr>
            <w:r>
              <w:rPr>
                <w:color w:val="000000"/>
              </w:rPr>
              <w:t>No se especifican recomendaciones en este cruce de análisis.</w:t>
            </w:r>
          </w:p>
        </w:tc>
      </w:tr>
      <w:tr w:rsidR="006041CA" w14:paraId="29C67CEF" w14:textId="77777777">
        <w:trPr>
          <w:trHeight w:val="523"/>
        </w:trPr>
        <w:tc>
          <w:tcPr>
            <w:tcW w:w="2977"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8A5EB9A" w14:textId="77777777" w:rsidR="006041CA" w:rsidRDefault="006041CA">
            <w:pPr>
              <w:widowControl w:val="0"/>
              <w:pBdr>
                <w:top w:val="nil"/>
                <w:left w:val="nil"/>
                <w:bottom w:val="nil"/>
                <w:right w:val="nil"/>
                <w:between w:val="nil"/>
              </w:pBdr>
              <w:spacing w:after="0" w:line="276" w:lineRule="auto"/>
              <w:rPr>
                <w:color w:val="000000"/>
              </w:rPr>
            </w:pPr>
          </w:p>
        </w:tc>
        <w:tc>
          <w:tcPr>
            <w:tcW w:w="3938" w:type="dxa"/>
            <w:vMerge/>
            <w:tcBorders>
              <w:top w:val="nil"/>
              <w:left w:val="single" w:sz="8" w:space="0" w:color="000000"/>
              <w:bottom w:val="nil"/>
              <w:right w:val="single" w:sz="8" w:space="0" w:color="000000"/>
            </w:tcBorders>
            <w:shd w:val="clear" w:color="auto" w:fill="FFC4D4"/>
            <w:tcMar>
              <w:top w:w="15" w:type="dxa"/>
              <w:left w:w="15" w:type="dxa"/>
              <w:bottom w:w="0" w:type="dxa"/>
              <w:right w:w="15" w:type="dxa"/>
            </w:tcMar>
            <w:vAlign w:val="center"/>
          </w:tcPr>
          <w:p w14:paraId="004C3603" w14:textId="77777777" w:rsidR="006041CA" w:rsidRDefault="006041CA">
            <w:pPr>
              <w:widowControl w:val="0"/>
              <w:pBdr>
                <w:top w:val="nil"/>
                <w:left w:val="nil"/>
                <w:bottom w:val="nil"/>
                <w:right w:val="nil"/>
                <w:between w:val="nil"/>
              </w:pBdr>
              <w:spacing w:after="0" w:line="276" w:lineRule="auto"/>
              <w:rPr>
                <w:color w:val="000000"/>
              </w:rPr>
            </w:pPr>
          </w:p>
        </w:tc>
        <w:tc>
          <w:tcPr>
            <w:tcW w:w="3037" w:type="dxa"/>
            <w:vMerge/>
            <w:tcBorders>
              <w:top w:val="nil"/>
              <w:left w:val="single" w:sz="8" w:space="0" w:color="000000"/>
              <w:bottom w:val="nil"/>
              <w:right w:val="single" w:sz="8" w:space="0" w:color="000000"/>
            </w:tcBorders>
            <w:shd w:val="clear" w:color="auto" w:fill="FFFFFF"/>
            <w:tcMar>
              <w:top w:w="15" w:type="dxa"/>
              <w:left w:w="15" w:type="dxa"/>
              <w:bottom w:w="0" w:type="dxa"/>
              <w:right w:w="15" w:type="dxa"/>
            </w:tcMar>
            <w:vAlign w:val="center"/>
          </w:tcPr>
          <w:p w14:paraId="06C0B403" w14:textId="77777777" w:rsidR="006041CA" w:rsidRDefault="006041CA">
            <w:pPr>
              <w:widowControl w:val="0"/>
              <w:pBdr>
                <w:top w:val="nil"/>
                <w:left w:val="nil"/>
                <w:bottom w:val="nil"/>
                <w:right w:val="nil"/>
                <w:between w:val="nil"/>
              </w:pBdr>
              <w:spacing w:after="0" w:line="276" w:lineRule="auto"/>
              <w:rPr>
                <w:color w:val="000000"/>
              </w:rPr>
            </w:pPr>
          </w:p>
        </w:tc>
      </w:tr>
      <w:tr w:rsidR="006041CA" w14:paraId="500CA320" w14:textId="77777777">
        <w:trPr>
          <w:trHeight w:val="315"/>
        </w:trPr>
        <w:tc>
          <w:tcPr>
            <w:tcW w:w="2977" w:type="dxa"/>
            <w:tcBorders>
              <w:top w:val="nil"/>
              <w:left w:val="single" w:sz="8" w:space="0" w:color="000000"/>
              <w:bottom w:val="single" w:sz="8" w:space="0" w:color="000000"/>
              <w:right w:val="single" w:sz="8" w:space="0" w:color="000000"/>
            </w:tcBorders>
            <w:shd w:val="clear" w:color="auto" w:fill="6C0C4C"/>
            <w:tcMar>
              <w:top w:w="15" w:type="dxa"/>
              <w:left w:w="15" w:type="dxa"/>
              <w:bottom w:w="0" w:type="dxa"/>
              <w:right w:w="15" w:type="dxa"/>
            </w:tcMar>
            <w:vAlign w:val="center"/>
          </w:tcPr>
          <w:p w14:paraId="3EB39443" w14:textId="77777777" w:rsidR="006041CA" w:rsidRDefault="001271CC">
            <w:pPr>
              <w:spacing w:after="120" w:line="360" w:lineRule="auto"/>
              <w:jc w:val="center"/>
              <w:rPr>
                <w:b/>
                <w:color w:val="FFFFFF"/>
              </w:rPr>
            </w:pPr>
            <w:r>
              <w:rPr>
                <w:b/>
                <w:color w:val="FFFFFF"/>
              </w:rPr>
              <w:t>Amenazas</w:t>
            </w:r>
          </w:p>
        </w:tc>
        <w:tc>
          <w:tcPr>
            <w:tcW w:w="3938" w:type="dxa"/>
            <w:tcBorders>
              <w:top w:val="nil"/>
              <w:left w:val="nil"/>
              <w:bottom w:val="single" w:sz="8" w:space="0" w:color="000000"/>
              <w:right w:val="single" w:sz="8" w:space="0" w:color="000000"/>
            </w:tcBorders>
            <w:shd w:val="clear" w:color="auto" w:fill="6C0C4C"/>
            <w:tcMar>
              <w:top w:w="15" w:type="dxa"/>
              <w:left w:w="15" w:type="dxa"/>
              <w:bottom w:w="0" w:type="dxa"/>
              <w:right w:w="15" w:type="dxa"/>
            </w:tcMar>
            <w:vAlign w:val="center"/>
          </w:tcPr>
          <w:p w14:paraId="0A4BA8D2" w14:textId="77777777" w:rsidR="006041CA" w:rsidRDefault="001271CC">
            <w:pPr>
              <w:spacing w:after="120" w:line="360" w:lineRule="auto"/>
              <w:jc w:val="center"/>
              <w:rPr>
                <w:b/>
                <w:color w:val="FFFFFF"/>
              </w:rPr>
            </w:pPr>
            <w:r>
              <w:rPr>
                <w:b/>
                <w:color w:val="FFFFFF"/>
              </w:rPr>
              <w:t>Recomendaciones FA:</w:t>
            </w:r>
          </w:p>
        </w:tc>
        <w:tc>
          <w:tcPr>
            <w:tcW w:w="3037" w:type="dxa"/>
            <w:tcBorders>
              <w:top w:val="nil"/>
              <w:left w:val="nil"/>
              <w:bottom w:val="single" w:sz="8" w:space="0" w:color="000000"/>
              <w:right w:val="single" w:sz="8" w:space="0" w:color="000000"/>
            </w:tcBorders>
            <w:shd w:val="clear" w:color="auto" w:fill="6C0C4C"/>
            <w:tcMar>
              <w:top w:w="15" w:type="dxa"/>
              <w:left w:w="15" w:type="dxa"/>
              <w:bottom w:w="0" w:type="dxa"/>
              <w:right w:w="15" w:type="dxa"/>
            </w:tcMar>
            <w:vAlign w:val="center"/>
          </w:tcPr>
          <w:p w14:paraId="13982D40" w14:textId="77777777" w:rsidR="006041CA" w:rsidRDefault="001271CC">
            <w:pPr>
              <w:spacing w:after="120" w:line="360" w:lineRule="auto"/>
              <w:jc w:val="center"/>
              <w:rPr>
                <w:b/>
                <w:color w:val="FFFFFF"/>
              </w:rPr>
            </w:pPr>
            <w:r>
              <w:rPr>
                <w:b/>
                <w:color w:val="FFFFFF"/>
              </w:rPr>
              <w:t>Recomendaciones DA:</w:t>
            </w:r>
          </w:p>
        </w:tc>
      </w:tr>
      <w:tr w:rsidR="006041CA" w14:paraId="1FBF149A" w14:textId="77777777">
        <w:trPr>
          <w:trHeight w:val="523"/>
        </w:trPr>
        <w:tc>
          <w:tcPr>
            <w:tcW w:w="2977" w:type="dxa"/>
            <w:vMerge w:val="restart"/>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FDAE948" w14:textId="77777777" w:rsidR="006041CA" w:rsidRDefault="001271CC">
            <w:pPr>
              <w:spacing w:after="120" w:line="360" w:lineRule="auto"/>
              <w:jc w:val="center"/>
              <w:rPr>
                <w:color w:val="000000"/>
              </w:rPr>
            </w:pPr>
            <w:r>
              <w:rPr>
                <w:color w:val="000000"/>
              </w:rPr>
              <w:t>No se identifican Amenazas.</w:t>
            </w:r>
          </w:p>
        </w:tc>
        <w:tc>
          <w:tcPr>
            <w:tcW w:w="3938" w:type="dxa"/>
            <w:vMerge w:val="restart"/>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5C341CC9" w14:textId="77777777" w:rsidR="006041CA" w:rsidRDefault="001271CC">
            <w:pPr>
              <w:spacing w:after="120" w:line="360" w:lineRule="auto"/>
              <w:jc w:val="center"/>
              <w:rPr>
                <w:color w:val="000000"/>
              </w:rPr>
            </w:pPr>
            <w:r>
              <w:rPr>
                <w:color w:val="000000"/>
              </w:rPr>
              <w:t>No se especifican recomendaciones en este cruce de análisis.</w:t>
            </w:r>
          </w:p>
        </w:tc>
        <w:tc>
          <w:tcPr>
            <w:tcW w:w="3037" w:type="dxa"/>
            <w:vMerge w:val="restart"/>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56413C9C" w14:textId="77777777" w:rsidR="006041CA" w:rsidRDefault="001271CC">
            <w:pPr>
              <w:spacing w:after="120" w:line="360" w:lineRule="auto"/>
              <w:jc w:val="center"/>
              <w:rPr>
                <w:color w:val="000000"/>
              </w:rPr>
            </w:pPr>
            <w:r>
              <w:rPr>
                <w:color w:val="000000"/>
              </w:rPr>
              <w:t>No se especifican recomendaciones en este cruce de análisis.</w:t>
            </w:r>
          </w:p>
        </w:tc>
      </w:tr>
      <w:tr w:rsidR="006041CA" w14:paraId="1EE58986" w14:textId="77777777">
        <w:trPr>
          <w:trHeight w:val="523"/>
        </w:trPr>
        <w:tc>
          <w:tcPr>
            <w:tcW w:w="2977" w:type="dxa"/>
            <w:vMerge/>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08608F4" w14:textId="77777777" w:rsidR="006041CA" w:rsidRDefault="006041CA">
            <w:pPr>
              <w:widowControl w:val="0"/>
              <w:pBdr>
                <w:top w:val="nil"/>
                <w:left w:val="nil"/>
                <w:bottom w:val="nil"/>
                <w:right w:val="nil"/>
                <w:between w:val="nil"/>
              </w:pBdr>
              <w:spacing w:after="0" w:line="276" w:lineRule="auto"/>
              <w:rPr>
                <w:color w:val="000000"/>
              </w:rPr>
            </w:pPr>
          </w:p>
        </w:tc>
        <w:tc>
          <w:tcPr>
            <w:tcW w:w="3938" w:type="dxa"/>
            <w:vMerge/>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3112242D" w14:textId="77777777" w:rsidR="006041CA" w:rsidRDefault="006041CA">
            <w:pPr>
              <w:widowControl w:val="0"/>
              <w:pBdr>
                <w:top w:val="nil"/>
                <w:left w:val="nil"/>
                <w:bottom w:val="nil"/>
                <w:right w:val="nil"/>
                <w:between w:val="nil"/>
              </w:pBdr>
              <w:spacing w:after="0" w:line="276" w:lineRule="auto"/>
              <w:rPr>
                <w:color w:val="000000"/>
              </w:rPr>
            </w:pPr>
          </w:p>
        </w:tc>
        <w:tc>
          <w:tcPr>
            <w:tcW w:w="3037" w:type="dxa"/>
            <w:vMerge/>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20029A48" w14:textId="77777777" w:rsidR="006041CA" w:rsidRDefault="006041CA">
            <w:pPr>
              <w:widowControl w:val="0"/>
              <w:pBdr>
                <w:top w:val="nil"/>
                <w:left w:val="nil"/>
                <w:bottom w:val="nil"/>
                <w:right w:val="nil"/>
                <w:between w:val="nil"/>
              </w:pBdr>
              <w:spacing w:after="0" w:line="276" w:lineRule="auto"/>
              <w:rPr>
                <w:color w:val="000000"/>
              </w:rPr>
            </w:pPr>
          </w:p>
        </w:tc>
      </w:tr>
    </w:tbl>
    <w:p w14:paraId="66D98ED7" w14:textId="77777777" w:rsidR="006041CA" w:rsidRDefault="001271CC">
      <w:pPr>
        <w:spacing w:after="120" w:line="360" w:lineRule="auto"/>
      </w:pPr>
      <w:r>
        <w:t xml:space="preserve"> </w:t>
      </w:r>
      <w:r>
        <w:br w:type="page"/>
      </w:r>
    </w:p>
    <w:p w14:paraId="4349B64B"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7DE337DB"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10E2B9E2"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6501C72D"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1042EC68"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72740A33" w14:textId="77777777" w:rsidR="006041CA" w:rsidRDefault="001271CC">
      <w:pPr>
        <w:pStyle w:val="Ttulo1"/>
        <w:spacing w:before="0" w:after="120" w:line="360" w:lineRule="auto"/>
        <w:jc w:val="center"/>
        <w:rPr>
          <w:rFonts w:ascii="Calibri" w:eastAsia="Calibri" w:hAnsi="Calibri" w:cs="Calibri"/>
          <w:b/>
          <w:color w:val="660033"/>
          <w:sz w:val="52"/>
          <w:szCs w:val="52"/>
        </w:rPr>
      </w:pPr>
      <w:bookmarkStart w:id="9" w:name="_heading=h.4d34og8" w:colFirst="0" w:colLast="0"/>
      <w:bookmarkEnd w:id="9"/>
      <w:r>
        <w:rPr>
          <w:rFonts w:ascii="Calibri" w:eastAsia="Calibri" w:hAnsi="Calibri" w:cs="Calibri"/>
          <w:b/>
          <w:color w:val="660033"/>
          <w:sz w:val="52"/>
          <w:szCs w:val="52"/>
        </w:rPr>
        <w:t>Anexo 3. Recomendaciones</w:t>
      </w:r>
    </w:p>
    <w:p w14:paraId="68B83E1C" w14:textId="77777777" w:rsidR="006041CA" w:rsidRDefault="001271CC">
      <w:pPr>
        <w:spacing w:after="120" w:line="360" w:lineRule="auto"/>
        <w:rPr>
          <w:color w:val="660033"/>
        </w:rPr>
      </w:pPr>
      <w:r>
        <w:br w:type="page"/>
      </w:r>
    </w:p>
    <w:p w14:paraId="7F33B479" w14:textId="77777777" w:rsidR="006041CA" w:rsidRDefault="001271CC">
      <w:pPr>
        <w:spacing w:after="120" w:line="360" w:lineRule="auto"/>
      </w:pPr>
      <w:r>
        <w:t>En donde:</w:t>
      </w:r>
    </w:p>
    <w:p w14:paraId="7D9F9345" w14:textId="77777777" w:rsidR="006041CA" w:rsidRDefault="001271CC">
      <w:pPr>
        <w:numPr>
          <w:ilvl w:val="0"/>
          <w:numId w:val="13"/>
        </w:numPr>
        <w:pBdr>
          <w:top w:val="nil"/>
          <w:left w:val="nil"/>
          <w:bottom w:val="nil"/>
          <w:right w:val="nil"/>
          <w:between w:val="nil"/>
        </w:pBdr>
        <w:spacing w:after="120" w:line="360" w:lineRule="auto"/>
        <w:jc w:val="both"/>
        <w:rPr>
          <w:color w:val="000000"/>
        </w:rPr>
      </w:pPr>
      <w:r>
        <w:rPr>
          <w:color w:val="000000"/>
        </w:rPr>
        <w:t>Aspectos específicos (AE): Son aquellos cuya solución corresponde a la unidad administrativa específica responsable del Programa y de la ejecución de los recursos sujetos de evaluación.</w:t>
      </w:r>
    </w:p>
    <w:p w14:paraId="6DE1AE15" w14:textId="77777777" w:rsidR="006041CA" w:rsidRDefault="001271CC">
      <w:pPr>
        <w:numPr>
          <w:ilvl w:val="0"/>
          <w:numId w:val="13"/>
        </w:numPr>
        <w:pBdr>
          <w:top w:val="nil"/>
          <w:left w:val="nil"/>
          <w:bottom w:val="nil"/>
          <w:right w:val="nil"/>
          <w:between w:val="nil"/>
        </w:pBdr>
        <w:spacing w:after="120" w:line="360" w:lineRule="auto"/>
        <w:jc w:val="both"/>
        <w:rPr>
          <w:color w:val="000000"/>
        </w:rPr>
      </w:pPr>
      <w:r>
        <w:rPr>
          <w:color w:val="000000"/>
        </w:rPr>
        <w:t>Aspectos institucionales (AI): Requieren de la intervención de varias unidades administrativas dentro de la misma dependencia o Ente Público, para su solución.</w:t>
      </w:r>
    </w:p>
    <w:p w14:paraId="05E04AC0" w14:textId="77777777" w:rsidR="006041CA" w:rsidRDefault="001271CC">
      <w:pPr>
        <w:numPr>
          <w:ilvl w:val="0"/>
          <w:numId w:val="13"/>
        </w:numPr>
        <w:pBdr>
          <w:top w:val="nil"/>
          <w:left w:val="nil"/>
          <w:bottom w:val="nil"/>
          <w:right w:val="nil"/>
          <w:between w:val="nil"/>
        </w:pBdr>
        <w:spacing w:after="120" w:line="360" w:lineRule="auto"/>
        <w:jc w:val="both"/>
        <w:rPr>
          <w:color w:val="000000"/>
        </w:rPr>
      </w:pPr>
      <w:r>
        <w:rPr>
          <w:color w:val="000000"/>
        </w:rPr>
        <w:t xml:space="preserve">Aspectos interinstitucionales (AID): En donde </w:t>
      </w:r>
      <w:r>
        <w:rPr>
          <w:highlight w:val="yellow"/>
        </w:rPr>
        <w:t>la solución</w:t>
      </w:r>
      <w:r>
        <w:rPr>
          <w:color w:val="000000"/>
          <w:highlight w:val="yellow"/>
        </w:rPr>
        <w:t xml:space="preserve"> </w:t>
      </w:r>
      <w:r>
        <w:rPr>
          <w:color w:val="000000"/>
        </w:rPr>
        <w:t>corresponde a la participación de más de una unidad administrativa, ubicadas en distintas dependencias.</w:t>
      </w:r>
    </w:p>
    <w:p w14:paraId="08A0699E" w14:textId="77777777" w:rsidR="006041CA" w:rsidRDefault="001271CC">
      <w:pPr>
        <w:numPr>
          <w:ilvl w:val="0"/>
          <w:numId w:val="13"/>
        </w:numPr>
        <w:pBdr>
          <w:top w:val="nil"/>
          <w:left w:val="nil"/>
          <w:bottom w:val="nil"/>
          <w:right w:val="nil"/>
          <w:between w:val="nil"/>
        </w:pBdr>
        <w:spacing w:after="120" w:line="360" w:lineRule="auto"/>
        <w:jc w:val="both"/>
        <w:rPr>
          <w:color w:val="000000"/>
        </w:rPr>
      </w:pPr>
      <w:r>
        <w:rPr>
          <w:color w:val="000000"/>
        </w:rPr>
        <w:t>Aspectos intergubernamentales (AIG): Cuya solución implica la participación de dos o tres niveles de gobierno.</w:t>
      </w:r>
    </w:p>
    <w:p w14:paraId="0D0078EA" w14:textId="77777777" w:rsidR="006041CA" w:rsidRDefault="006041CA">
      <w:pPr>
        <w:tabs>
          <w:tab w:val="left" w:pos="1298"/>
        </w:tabs>
        <w:spacing w:after="120" w:line="360" w:lineRule="auto"/>
      </w:pPr>
    </w:p>
    <w:tbl>
      <w:tblPr>
        <w:tblStyle w:val="a7"/>
        <w:tblW w:w="9962" w:type="dxa"/>
        <w:tblInd w:w="-10" w:type="dxa"/>
        <w:tblLayout w:type="fixed"/>
        <w:tblLook w:val="0400" w:firstRow="0" w:lastRow="0" w:firstColumn="0" w:lastColumn="0" w:noHBand="0" w:noVBand="1"/>
      </w:tblPr>
      <w:tblGrid>
        <w:gridCol w:w="462"/>
        <w:gridCol w:w="3118"/>
        <w:gridCol w:w="1067"/>
        <w:gridCol w:w="381"/>
        <w:gridCol w:w="332"/>
        <w:gridCol w:w="477"/>
        <w:gridCol w:w="473"/>
        <w:gridCol w:w="522"/>
        <w:gridCol w:w="734"/>
        <w:gridCol w:w="547"/>
        <w:gridCol w:w="1849"/>
      </w:tblGrid>
      <w:tr w:rsidR="006041CA" w14:paraId="2A9E7AAA" w14:textId="77777777">
        <w:trPr>
          <w:trHeight w:val="315"/>
        </w:trPr>
        <w:tc>
          <w:tcPr>
            <w:tcW w:w="9962" w:type="dxa"/>
            <w:gridSpan w:val="11"/>
            <w:tcBorders>
              <w:top w:val="single" w:sz="8" w:space="0" w:color="000000"/>
              <w:left w:val="single" w:sz="8" w:space="0" w:color="000000"/>
              <w:bottom w:val="single" w:sz="8" w:space="0" w:color="000000"/>
              <w:right w:val="single" w:sz="8" w:space="0" w:color="000000"/>
            </w:tcBorders>
            <w:shd w:val="clear" w:color="auto" w:fill="6C0C4C"/>
            <w:vAlign w:val="center"/>
          </w:tcPr>
          <w:p w14:paraId="662B6A6B" w14:textId="77777777" w:rsidR="006041CA" w:rsidRDefault="001271CC">
            <w:pPr>
              <w:spacing w:after="120" w:line="360" w:lineRule="auto"/>
              <w:jc w:val="center"/>
              <w:rPr>
                <w:b/>
                <w:color w:val="FFFFFF"/>
              </w:rPr>
            </w:pPr>
            <w:r>
              <w:rPr>
                <w:b/>
                <w:color w:val="FFFFFF"/>
              </w:rPr>
              <w:t>Recomendaciones</w:t>
            </w:r>
          </w:p>
        </w:tc>
      </w:tr>
      <w:tr w:rsidR="006041CA" w14:paraId="23F384CF" w14:textId="77777777">
        <w:trPr>
          <w:trHeight w:val="885"/>
        </w:trPr>
        <w:tc>
          <w:tcPr>
            <w:tcW w:w="462" w:type="dxa"/>
            <w:vMerge w:val="restart"/>
            <w:tcBorders>
              <w:top w:val="nil"/>
              <w:left w:val="single" w:sz="8" w:space="0" w:color="000000"/>
              <w:bottom w:val="single" w:sz="8" w:space="0" w:color="000000"/>
              <w:right w:val="single" w:sz="8" w:space="0" w:color="000000"/>
            </w:tcBorders>
            <w:shd w:val="clear" w:color="auto" w:fill="6C0C4C"/>
            <w:vAlign w:val="center"/>
          </w:tcPr>
          <w:p w14:paraId="1CD4A5E6" w14:textId="77777777" w:rsidR="006041CA" w:rsidRDefault="001271CC">
            <w:pPr>
              <w:spacing w:after="120" w:line="360" w:lineRule="auto"/>
              <w:jc w:val="center"/>
              <w:rPr>
                <w:b/>
                <w:color w:val="FFFFFF"/>
              </w:rPr>
            </w:pPr>
            <w:r>
              <w:rPr>
                <w:b/>
                <w:color w:val="FFFFFF"/>
              </w:rPr>
              <w:t>No.</w:t>
            </w:r>
          </w:p>
        </w:tc>
        <w:tc>
          <w:tcPr>
            <w:tcW w:w="3118" w:type="dxa"/>
            <w:vMerge w:val="restart"/>
            <w:tcBorders>
              <w:top w:val="nil"/>
              <w:left w:val="single" w:sz="8" w:space="0" w:color="000000"/>
              <w:bottom w:val="single" w:sz="8" w:space="0" w:color="000000"/>
              <w:right w:val="single" w:sz="8" w:space="0" w:color="000000"/>
            </w:tcBorders>
            <w:shd w:val="clear" w:color="auto" w:fill="6C0C4C"/>
            <w:vAlign w:val="center"/>
          </w:tcPr>
          <w:p w14:paraId="24ED2FBD" w14:textId="77777777" w:rsidR="006041CA" w:rsidRDefault="001271CC">
            <w:pPr>
              <w:spacing w:after="120" w:line="360" w:lineRule="auto"/>
              <w:jc w:val="center"/>
              <w:rPr>
                <w:b/>
                <w:color w:val="FFFFFF"/>
              </w:rPr>
            </w:pPr>
            <w:r>
              <w:rPr>
                <w:b/>
                <w:color w:val="FFFFFF"/>
              </w:rPr>
              <w:t>Recomendaciones</w:t>
            </w:r>
          </w:p>
        </w:tc>
        <w:tc>
          <w:tcPr>
            <w:tcW w:w="1067" w:type="dxa"/>
            <w:vMerge w:val="restart"/>
            <w:tcBorders>
              <w:top w:val="nil"/>
              <w:left w:val="single" w:sz="8" w:space="0" w:color="000000"/>
              <w:bottom w:val="single" w:sz="8" w:space="0" w:color="000000"/>
              <w:right w:val="single" w:sz="8" w:space="0" w:color="000000"/>
            </w:tcBorders>
            <w:shd w:val="clear" w:color="auto" w:fill="6C0C4C"/>
            <w:vAlign w:val="center"/>
          </w:tcPr>
          <w:p w14:paraId="3A4D2E91" w14:textId="77777777" w:rsidR="006041CA" w:rsidRDefault="001271CC">
            <w:pPr>
              <w:spacing w:after="120" w:line="360" w:lineRule="auto"/>
              <w:jc w:val="center"/>
              <w:rPr>
                <w:b/>
                <w:color w:val="FFFFFF"/>
              </w:rPr>
            </w:pPr>
            <w:r>
              <w:rPr>
                <w:b/>
                <w:color w:val="FFFFFF"/>
              </w:rPr>
              <w:t>No. De pregunta que lo sustenta</w:t>
            </w:r>
          </w:p>
        </w:tc>
        <w:tc>
          <w:tcPr>
            <w:tcW w:w="1663" w:type="dxa"/>
            <w:gridSpan w:val="4"/>
            <w:tcBorders>
              <w:top w:val="single" w:sz="8" w:space="0" w:color="000000"/>
              <w:left w:val="nil"/>
              <w:bottom w:val="single" w:sz="8" w:space="0" w:color="000000"/>
              <w:right w:val="single" w:sz="8" w:space="0" w:color="000000"/>
            </w:tcBorders>
            <w:shd w:val="clear" w:color="auto" w:fill="6C0C4C"/>
            <w:vAlign w:val="center"/>
          </w:tcPr>
          <w:p w14:paraId="3E004066" w14:textId="77777777" w:rsidR="006041CA" w:rsidRDefault="001271CC">
            <w:pPr>
              <w:spacing w:after="120" w:line="360" w:lineRule="auto"/>
              <w:jc w:val="center"/>
              <w:rPr>
                <w:b/>
                <w:color w:val="FFFFFF"/>
              </w:rPr>
            </w:pPr>
            <w:r>
              <w:rPr>
                <w:b/>
                <w:color w:val="FFFFFF"/>
              </w:rPr>
              <w:t>Clasificación</w:t>
            </w:r>
          </w:p>
        </w:tc>
        <w:tc>
          <w:tcPr>
            <w:tcW w:w="1803" w:type="dxa"/>
            <w:gridSpan w:val="3"/>
            <w:tcBorders>
              <w:top w:val="single" w:sz="8" w:space="0" w:color="000000"/>
              <w:left w:val="nil"/>
              <w:bottom w:val="single" w:sz="8" w:space="0" w:color="000000"/>
              <w:right w:val="single" w:sz="8" w:space="0" w:color="000000"/>
            </w:tcBorders>
            <w:shd w:val="clear" w:color="auto" w:fill="6C0C4C"/>
            <w:vAlign w:val="center"/>
          </w:tcPr>
          <w:p w14:paraId="2AB36D16" w14:textId="77777777" w:rsidR="006041CA" w:rsidRDefault="001271CC">
            <w:pPr>
              <w:spacing w:after="120" w:line="360" w:lineRule="auto"/>
              <w:jc w:val="center"/>
              <w:rPr>
                <w:b/>
                <w:color w:val="FFFFFF"/>
              </w:rPr>
            </w:pPr>
            <w:r>
              <w:rPr>
                <w:b/>
                <w:color w:val="FFFFFF"/>
              </w:rPr>
              <w:t>Priorización</w:t>
            </w:r>
          </w:p>
        </w:tc>
        <w:tc>
          <w:tcPr>
            <w:tcW w:w="1849" w:type="dxa"/>
            <w:vMerge w:val="restart"/>
            <w:tcBorders>
              <w:top w:val="nil"/>
              <w:left w:val="single" w:sz="8" w:space="0" w:color="000000"/>
              <w:bottom w:val="single" w:sz="8" w:space="0" w:color="000000"/>
              <w:right w:val="single" w:sz="8" w:space="0" w:color="000000"/>
            </w:tcBorders>
            <w:shd w:val="clear" w:color="auto" w:fill="6C0C4C"/>
            <w:vAlign w:val="center"/>
          </w:tcPr>
          <w:p w14:paraId="406CAB46" w14:textId="77777777" w:rsidR="006041CA" w:rsidRDefault="001271CC">
            <w:pPr>
              <w:spacing w:after="120" w:line="360" w:lineRule="auto"/>
              <w:jc w:val="center"/>
              <w:rPr>
                <w:b/>
                <w:color w:val="FFFFFF"/>
              </w:rPr>
            </w:pPr>
            <w:r>
              <w:rPr>
                <w:b/>
                <w:color w:val="FFFFFF"/>
              </w:rPr>
              <w:t>Resultados esperados</w:t>
            </w:r>
          </w:p>
        </w:tc>
      </w:tr>
      <w:tr w:rsidR="006041CA" w14:paraId="679612E3" w14:textId="77777777">
        <w:trPr>
          <w:trHeight w:val="315"/>
        </w:trPr>
        <w:tc>
          <w:tcPr>
            <w:tcW w:w="462" w:type="dxa"/>
            <w:vMerge/>
            <w:tcBorders>
              <w:top w:val="nil"/>
              <w:left w:val="single" w:sz="8" w:space="0" w:color="000000"/>
              <w:bottom w:val="single" w:sz="8" w:space="0" w:color="000000"/>
              <w:right w:val="single" w:sz="8" w:space="0" w:color="000000"/>
            </w:tcBorders>
            <w:shd w:val="clear" w:color="auto" w:fill="6C0C4C"/>
            <w:vAlign w:val="center"/>
          </w:tcPr>
          <w:p w14:paraId="503AADA6" w14:textId="77777777" w:rsidR="006041CA" w:rsidRDefault="006041CA">
            <w:pPr>
              <w:widowControl w:val="0"/>
              <w:pBdr>
                <w:top w:val="nil"/>
                <w:left w:val="nil"/>
                <w:bottom w:val="nil"/>
                <w:right w:val="nil"/>
                <w:between w:val="nil"/>
              </w:pBdr>
              <w:spacing w:after="0" w:line="276" w:lineRule="auto"/>
              <w:rPr>
                <w:b/>
                <w:color w:val="FFFFFF"/>
              </w:rPr>
            </w:pPr>
          </w:p>
        </w:tc>
        <w:tc>
          <w:tcPr>
            <w:tcW w:w="3118" w:type="dxa"/>
            <w:vMerge/>
            <w:tcBorders>
              <w:top w:val="nil"/>
              <w:left w:val="single" w:sz="8" w:space="0" w:color="000000"/>
              <w:bottom w:val="single" w:sz="8" w:space="0" w:color="000000"/>
              <w:right w:val="single" w:sz="8" w:space="0" w:color="000000"/>
            </w:tcBorders>
            <w:shd w:val="clear" w:color="auto" w:fill="6C0C4C"/>
            <w:vAlign w:val="center"/>
          </w:tcPr>
          <w:p w14:paraId="762498D6" w14:textId="77777777" w:rsidR="006041CA" w:rsidRDefault="006041CA">
            <w:pPr>
              <w:widowControl w:val="0"/>
              <w:pBdr>
                <w:top w:val="nil"/>
                <w:left w:val="nil"/>
                <w:bottom w:val="nil"/>
                <w:right w:val="nil"/>
                <w:between w:val="nil"/>
              </w:pBdr>
              <w:spacing w:after="0" w:line="276" w:lineRule="auto"/>
              <w:rPr>
                <w:b/>
                <w:color w:val="FFFFFF"/>
              </w:rPr>
            </w:pPr>
          </w:p>
        </w:tc>
        <w:tc>
          <w:tcPr>
            <w:tcW w:w="1067" w:type="dxa"/>
            <w:vMerge/>
            <w:tcBorders>
              <w:top w:val="nil"/>
              <w:left w:val="single" w:sz="8" w:space="0" w:color="000000"/>
              <w:bottom w:val="single" w:sz="8" w:space="0" w:color="000000"/>
              <w:right w:val="single" w:sz="8" w:space="0" w:color="000000"/>
            </w:tcBorders>
            <w:shd w:val="clear" w:color="auto" w:fill="6C0C4C"/>
            <w:vAlign w:val="center"/>
          </w:tcPr>
          <w:p w14:paraId="75083A48" w14:textId="77777777" w:rsidR="006041CA" w:rsidRDefault="006041CA">
            <w:pPr>
              <w:widowControl w:val="0"/>
              <w:pBdr>
                <w:top w:val="nil"/>
                <w:left w:val="nil"/>
                <w:bottom w:val="nil"/>
                <w:right w:val="nil"/>
                <w:between w:val="nil"/>
              </w:pBdr>
              <w:spacing w:after="0" w:line="276" w:lineRule="auto"/>
              <w:rPr>
                <w:b/>
                <w:color w:val="FFFFFF"/>
              </w:rPr>
            </w:pPr>
          </w:p>
        </w:tc>
        <w:tc>
          <w:tcPr>
            <w:tcW w:w="381" w:type="dxa"/>
            <w:tcBorders>
              <w:top w:val="nil"/>
              <w:left w:val="nil"/>
              <w:bottom w:val="single" w:sz="8" w:space="0" w:color="000000"/>
              <w:right w:val="single" w:sz="8" w:space="0" w:color="000000"/>
            </w:tcBorders>
            <w:shd w:val="clear" w:color="auto" w:fill="6C0C4C"/>
            <w:vAlign w:val="center"/>
          </w:tcPr>
          <w:p w14:paraId="57B0D5C4" w14:textId="77777777" w:rsidR="006041CA" w:rsidRDefault="001271CC">
            <w:pPr>
              <w:spacing w:after="120" w:line="360" w:lineRule="auto"/>
              <w:jc w:val="center"/>
              <w:rPr>
                <w:b/>
                <w:color w:val="FFFFFF"/>
              </w:rPr>
            </w:pPr>
            <w:r>
              <w:rPr>
                <w:b/>
                <w:color w:val="FFFFFF"/>
              </w:rPr>
              <w:t>AE</w:t>
            </w:r>
          </w:p>
        </w:tc>
        <w:tc>
          <w:tcPr>
            <w:tcW w:w="332" w:type="dxa"/>
            <w:tcBorders>
              <w:top w:val="nil"/>
              <w:left w:val="nil"/>
              <w:bottom w:val="single" w:sz="8" w:space="0" w:color="000000"/>
              <w:right w:val="single" w:sz="8" w:space="0" w:color="000000"/>
            </w:tcBorders>
            <w:shd w:val="clear" w:color="auto" w:fill="6C0C4C"/>
            <w:vAlign w:val="center"/>
          </w:tcPr>
          <w:p w14:paraId="3605928D" w14:textId="77777777" w:rsidR="006041CA" w:rsidRDefault="001271CC">
            <w:pPr>
              <w:spacing w:after="120" w:line="360" w:lineRule="auto"/>
              <w:jc w:val="center"/>
              <w:rPr>
                <w:b/>
                <w:color w:val="FFFFFF"/>
              </w:rPr>
            </w:pPr>
            <w:r>
              <w:rPr>
                <w:b/>
                <w:color w:val="FFFFFF"/>
              </w:rPr>
              <w:t>AI</w:t>
            </w:r>
          </w:p>
        </w:tc>
        <w:tc>
          <w:tcPr>
            <w:tcW w:w="477" w:type="dxa"/>
            <w:tcBorders>
              <w:top w:val="nil"/>
              <w:left w:val="nil"/>
              <w:bottom w:val="single" w:sz="8" w:space="0" w:color="000000"/>
              <w:right w:val="single" w:sz="8" w:space="0" w:color="000000"/>
            </w:tcBorders>
            <w:shd w:val="clear" w:color="auto" w:fill="6C0C4C"/>
            <w:vAlign w:val="center"/>
          </w:tcPr>
          <w:p w14:paraId="0ED3F69B" w14:textId="77777777" w:rsidR="006041CA" w:rsidRDefault="001271CC">
            <w:pPr>
              <w:spacing w:after="120" w:line="360" w:lineRule="auto"/>
              <w:jc w:val="center"/>
              <w:rPr>
                <w:b/>
                <w:color w:val="FFFFFF"/>
              </w:rPr>
            </w:pPr>
            <w:r>
              <w:rPr>
                <w:b/>
                <w:color w:val="FFFFFF"/>
              </w:rPr>
              <w:t>AIN</w:t>
            </w:r>
          </w:p>
        </w:tc>
        <w:tc>
          <w:tcPr>
            <w:tcW w:w="473" w:type="dxa"/>
            <w:tcBorders>
              <w:top w:val="nil"/>
              <w:left w:val="nil"/>
              <w:bottom w:val="single" w:sz="8" w:space="0" w:color="000000"/>
              <w:right w:val="single" w:sz="8" w:space="0" w:color="000000"/>
            </w:tcBorders>
            <w:shd w:val="clear" w:color="auto" w:fill="6C0C4C"/>
            <w:vAlign w:val="center"/>
          </w:tcPr>
          <w:p w14:paraId="74A84171" w14:textId="77777777" w:rsidR="006041CA" w:rsidRDefault="001271CC">
            <w:pPr>
              <w:spacing w:after="120" w:line="360" w:lineRule="auto"/>
              <w:jc w:val="center"/>
              <w:rPr>
                <w:b/>
                <w:color w:val="FFFFFF"/>
              </w:rPr>
            </w:pPr>
            <w:r>
              <w:rPr>
                <w:b/>
                <w:color w:val="FFFFFF"/>
              </w:rPr>
              <w:t>AIG</w:t>
            </w:r>
          </w:p>
        </w:tc>
        <w:tc>
          <w:tcPr>
            <w:tcW w:w="522" w:type="dxa"/>
            <w:tcBorders>
              <w:top w:val="nil"/>
              <w:left w:val="nil"/>
              <w:bottom w:val="single" w:sz="8" w:space="0" w:color="000000"/>
              <w:right w:val="single" w:sz="8" w:space="0" w:color="000000"/>
            </w:tcBorders>
            <w:shd w:val="clear" w:color="auto" w:fill="6C0C4C"/>
            <w:vAlign w:val="center"/>
          </w:tcPr>
          <w:p w14:paraId="75E38189" w14:textId="77777777" w:rsidR="006041CA" w:rsidRDefault="001271CC">
            <w:pPr>
              <w:spacing w:after="120" w:line="360" w:lineRule="auto"/>
              <w:jc w:val="center"/>
              <w:rPr>
                <w:b/>
                <w:color w:val="FFFFFF"/>
              </w:rPr>
            </w:pPr>
            <w:r>
              <w:rPr>
                <w:b/>
                <w:color w:val="FFFFFF"/>
              </w:rPr>
              <w:t>Alto</w:t>
            </w:r>
          </w:p>
        </w:tc>
        <w:tc>
          <w:tcPr>
            <w:tcW w:w="734" w:type="dxa"/>
            <w:tcBorders>
              <w:top w:val="nil"/>
              <w:left w:val="nil"/>
              <w:bottom w:val="single" w:sz="8" w:space="0" w:color="000000"/>
              <w:right w:val="single" w:sz="8" w:space="0" w:color="000000"/>
            </w:tcBorders>
            <w:shd w:val="clear" w:color="auto" w:fill="6C0C4C"/>
            <w:vAlign w:val="center"/>
          </w:tcPr>
          <w:p w14:paraId="33ED5DC8" w14:textId="77777777" w:rsidR="006041CA" w:rsidRDefault="001271CC">
            <w:pPr>
              <w:spacing w:after="120" w:line="360" w:lineRule="auto"/>
              <w:jc w:val="center"/>
              <w:rPr>
                <w:b/>
                <w:color w:val="FFFFFF"/>
              </w:rPr>
            </w:pPr>
            <w:r>
              <w:rPr>
                <w:b/>
                <w:color w:val="FFFFFF"/>
              </w:rPr>
              <w:t>Medio</w:t>
            </w:r>
          </w:p>
        </w:tc>
        <w:tc>
          <w:tcPr>
            <w:tcW w:w="547" w:type="dxa"/>
            <w:tcBorders>
              <w:top w:val="nil"/>
              <w:left w:val="nil"/>
              <w:bottom w:val="single" w:sz="8" w:space="0" w:color="000000"/>
              <w:right w:val="single" w:sz="8" w:space="0" w:color="000000"/>
            </w:tcBorders>
            <w:shd w:val="clear" w:color="auto" w:fill="6C0C4C"/>
            <w:vAlign w:val="center"/>
          </w:tcPr>
          <w:p w14:paraId="3433829F" w14:textId="77777777" w:rsidR="006041CA" w:rsidRDefault="001271CC">
            <w:pPr>
              <w:spacing w:after="120" w:line="360" w:lineRule="auto"/>
              <w:jc w:val="center"/>
              <w:rPr>
                <w:b/>
                <w:color w:val="FFFFFF"/>
              </w:rPr>
            </w:pPr>
            <w:r>
              <w:rPr>
                <w:b/>
                <w:color w:val="FFFFFF"/>
              </w:rPr>
              <w:t>Bajo</w:t>
            </w:r>
          </w:p>
        </w:tc>
        <w:tc>
          <w:tcPr>
            <w:tcW w:w="1849" w:type="dxa"/>
            <w:vMerge/>
            <w:tcBorders>
              <w:top w:val="nil"/>
              <w:left w:val="single" w:sz="8" w:space="0" w:color="000000"/>
              <w:bottom w:val="single" w:sz="8" w:space="0" w:color="000000"/>
              <w:right w:val="single" w:sz="8" w:space="0" w:color="000000"/>
            </w:tcBorders>
            <w:shd w:val="clear" w:color="auto" w:fill="6C0C4C"/>
            <w:vAlign w:val="center"/>
          </w:tcPr>
          <w:p w14:paraId="3726D3BF" w14:textId="77777777" w:rsidR="006041CA" w:rsidRDefault="006041CA">
            <w:pPr>
              <w:widowControl w:val="0"/>
              <w:pBdr>
                <w:top w:val="nil"/>
                <w:left w:val="nil"/>
                <w:bottom w:val="nil"/>
                <w:right w:val="nil"/>
                <w:between w:val="nil"/>
              </w:pBdr>
              <w:spacing w:after="0" w:line="276" w:lineRule="auto"/>
              <w:rPr>
                <w:b/>
                <w:color w:val="FFFFFF"/>
              </w:rPr>
            </w:pPr>
          </w:p>
        </w:tc>
      </w:tr>
      <w:tr w:rsidR="006041CA" w14:paraId="53B41B8F" w14:textId="77777777">
        <w:trPr>
          <w:trHeight w:val="1215"/>
        </w:trPr>
        <w:tc>
          <w:tcPr>
            <w:tcW w:w="462" w:type="dxa"/>
            <w:tcBorders>
              <w:top w:val="nil"/>
              <w:left w:val="single" w:sz="8" w:space="0" w:color="000000"/>
              <w:bottom w:val="single" w:sz="8" w:space="0" w:color="000000"/>
              <w:right w:val="single" w:sz="8" w:space="0" w:color="000000"/>
            </w:tcBorders>
            <w:shd w:val="clear" w:color="auto" w:fill="auto"/>
            <w:vAlign w:val="center"/>
          </w:tcPr>
          <w:p w14:paraId="035F79C4" w14:textId="77777777" w:rsidR="006041CA" w:rsidRDefault="001271CC">
            <w:pPr>
              <w:spacing w:after="120" w:line="360" w:lineRule="auto"/>
              <w:jc w:val="center"/>
              <w:rPr>
                <w:color w:val="000000"/>
              </w:rPr>
            </w:pPr>
            <w:r>
              <w:rPr>
                <w:color w:val="000000"/>
              </w:rPr>
              <w:t>1</w:t>
            </w:r>
          </w:p>
        </w:tc>
        <w:tc>
          <w:tcPr>
            <w:tcW w:w="3118" w:type="dxa"/>
            <w:tcBorders>
              <w:top w:val="nil"/>
              <w:left w:val="nil"/>
              <w:bottom w:val="single" w:sz="8" w:space="0" w:color="000000"/>
              <w:right w:val="single" w:sz="8" w:space="0" w:color="000000"/>
            </w:tcBorders>
            <w:shd w:val="clear" w:color="auto" w:fill="auto"/>
            <w:vAlign w:val="center"/>
          </w:tcPr>
          <w:p w14:paraId="00CF0BE1" w14:textId="77777777" w:rsidR="006041CA" w:rsidRDefault="001271CC">
            <w:pPr>
              <w:spacing w:after="120" w:line="360" w:lineRule="auto"/>
            </w:pPr>
            <w:r>
              <w:t>1: Revisar la definición de los Medios de Verificación y Fuentes de Información de la MIR del Pp, así como la temporalidad del reporte de dicha información, con el objeto de asegurar la coherencia, pertinencia y oportunidad de la información recopilada para medir los avances y resultados del Programa, garantizando que los datos reportados sean confiables, verificables y alineados con los indicadores establecidos.</w:t>
            </w:r>
          </w:p>
          <w:p w14:paraId="220768A5" w14:textId="77777777" w:rsidR="006041CA" w:rsidRDefault="006041CA">
            <w:pPr>
              <w:spacing w:after="120" w:line="360" w:lineRule="auto"/>
            </w:pPr>
          </w:p>
        </w:tc>
        <w:tc>
          <w:tcPr>
            <w:tcW w:w="1067" w:type="dxa"/>
            <w:tcBorders>
              <w:top w:val="nil"/>
              <w:left w:val="nil"/>
              <w:bottom w:val="single" w:sz="8" w:space="0" w:color="000000"/>
              <w:right w:val="single" w:sz="8" w:space="0" w:color="000000"/>
            </w:tcBorders>
            <w:shd w:val="clear" w:color="auto" w:fill="auto"/>
            <w:vAlign w:val="center"/>
          </w:tcPr>
          <w:p w14:paraId="1146345F" w14:textId="77777777" w:rsidR="006041CA" w:rsidRDefault="001271CC">
            <w:pPr>
              <w:spacing w:after="120" w:line="360" w:lineRule="auto"/>
              <w:jc w:val="center"/>
            </w:pPr>
            <w:r>
              <w:t>7</w:t>
            </w:r>
          </w:p>
        </w:tc>
        <w:tc>
          <w:tcPr>
            <w:tcW w:w="381" w:type="dxa"/>
            <w:tcBorders>
              <w:top w:val="nil"/>
              <w:left w:val="nil"/>
              <w:bottom w:val="single" w:sz="8" w:space="0" w:color="000000"/>
              <w:right w:val="single" w:sz="8" w:space="0" w:color="000000"/>
            </w:tcBorders>
            <w:shd w:val="clear" w:color="auto" w:fill="auto"/>
            <w:vAlign w:val="center"/>
          </w:tcPr>
          <w:p w14:paraId="4D53E8DB" w14:textId="77777777" w:rsidR="006041CA" w:rsidRDefault="001271CC">
            <w:pPr>
              <w:spacing w:after="120" w:line="360" w:lineRule="auto"/>
              <w:jc w:val="center"/>
              <w:rPr>
                <w:b/>
              </w:rPr>
            </w:pPr>
            <w:r>
              <w:rPr>
                <w:b/>
              </w:rPr>
              <w:t>X</w:t>
            </w:r>
          </w:p>
        </w:tc>
        <w:tc>
          <w:tcPr>
            <w:tcW w:w="332" w:type="dxa"/>
            <w:tcBorders>
              <w:top w:val="nil"/>
              <w:left w:val="nil"/>
              <w:bottom w:val="single" w:sz="8" w:space="0" w:color="000000"/>
              <w:right w:val="single" w:sz="8" w:space="0" w:color="000000"/>
            </w:tcBorders>
            <w:shd w:val="clear" w:color="auto" w:fill="auto"/>
            <w:vAlign w:val="center"/>
          </w:tcPr>
          <w:p w14:paraId="2718EE91" w14:textId="77777777" w:rsidR="006041CA" w:rsidRDefault="001271CC">
            <w:pPr>
              <w:spacing w:after="120" w:line="360" w:lineRule="auto"/>
              <w:jc w:val="center"/>
              <w:rPr>
                <w:b/>
              </w:rPr>
            </w:pPr>
            <w:r>
              <w:rPr>
                <w:b/>
              </w:rPr>
              <w:t> </w:t>
            </w:r>
          </w:p>
        </w:tc>
        <w:tc>
          <w:tcPr>
            <w:tcW w:w="477" w:type="dxa"/>
            <w:tcBorders>
              <w:top w:val="nil"/>
              <w:left w:val="nil"/>
              <w:bottom w:val="single" w:sz="8" w:space="0" w:color="000000"/>
              <w:right w:val="single" w:sz="8" w:space="0" w:color="000000"/>
            </w:tcBorders>
            <w:shd w:val="clear" w:color="auto" w:fill="auto"/>
            <w:vAlign w:val="center"/>
          </w:tcPr>
          <w:p w14:paraId="0284FA1C" w14:textId="77777777" w:rsidR="006041CA" w:rsidRDefault="001271CC">
            <w:pPr>
              <w:spacing w:after="120" w:line="360" w:lineRule="auto"/>
              <w:jc w:val="center"/>
              <w:rPr>
                <w:b/>
              </w:rPr>
            </w:pPr>
            <w:r>
              <w:rPr>
                <w:b/>
              </w:rPr>
              <w:t> </w:t>
            </w:r>
          </w:p>
        </w:tc>
        <w:tc>
          <w:tcPr>
            <w:tcW w:w="473" w:type="dxa"/>
            <w:tcBorders>
              <w:top w:val="nil"/>
              <w:left w:val="nil"/>
              <w:bottom w:val="single" w:sz="8" w:space="0" w:color="000000"/>
              <w:right w:val="single" w:sz="8" w:space="0" w:color="000000"/>
            </w:tcBorders>
            <w:shd w:val="clear" w:color="auto" w:fill="auto"/>
            <w:vAlign w:val="center"/>
          </w:tcPr>
          <w:p w14:paraId="427BB7F3" w14:textId="77777777" w:rsidR="006041CA" w:rsidRDefault="001271CC">
            <w:pPr>
              <w:spacing w:after="120" w:line="360" w:lineRule="auto"/>
              <w:jc w:val="center"/>
              <w:rPr>
                <w:b/>
              </w:rPr>
            </w:pPr>
            <w:r>
              <w:rPr>
                <w:b/>
              </w:rPr>
              <w:t> </w:t>
            </w:r>
          </w:p>
        </w:tc>
        <w:tc>
          <w:tcPr>
            <w:tcW w:w="522" w:type="dxa"/>
            <w:tcBorders>
              <w:top w:val="nil"/>
              <w:left w:val="nil"/>
              <w:bottom w:val="single" w:sz="8" w:space="0" w:color="000000"/>
              <w:right w:val="single" w:sz="8" w:space="0" w:color="000000"/>
            </w:tcBorders>
            <w:shd w:val="clear" w:color="auto" w:fill="auto"/>
            <w:vAlign w:val="center"/>
          </w:tcPr>
          <w:p w14:paraId="1F4CAC77" w14:textId="77777777" w:rsidR="006041CA" w:rsidRDefault="001271CC">
            <w:pPr>
              <w:spacing w:after="120" w:line="360" w:lineRule="auto"/>
              <w:jc w:val="center"/>
              <w:rPr>
                <w:b/>
              </w:rPr>
            </w:pPr>
            <w:r>
              <w:rPr>
                <w:b/>
              </w:rPr>
              <w:t>X</w:t>
            </w:r>
          </w:p>
        </w:tc>
        <w:tc>
          <w:tcPr>
            <w:tcW w:w="734" w:type="dxa"/>
            <w:tcBorders>
              <w:top w:val="nil"/>
              <w:left w:val="nil"/>
              <w:bottom w:val="single" w:sz="8" w:space="0" w:color="000000"/>
              <w:right w:val="single" w:sz="8" w:space="0" w:color="000000"/>
            </w:tcBorders>
            <w:shd w:val="clear" w:color="auto" w:fill="auto"/>
            <w:vAlign w:val="center"/>
          </w:tcPr>
          <w:p w14:paraId="5B810AC6" w14:textId="77777777" w:rsidR="006041CA" w:rsidRDefault="001271CC">
            <w:pPr>
              <w:spacing w:after="120" w:line="360" w:lineRule="auto"/>
              <w:jc w:val="center"/>
              <w:rPr>
                <w:b/>
              </w:rPr>
            </w:pPr>
            <w:r>
              <w:rPr>
                <w:b/>
              </w:rPr>
              <w:t> </w:t>
            </w:r>
          </w:p>
        </w:tc>
        <w:tc>
          <w:tcPr>
            <w:tcW w:w="547" w:type="dxa"/>
            <w:tcBorders>
              <w:top w:val="nil"/>
              <w:left w:val="nil"/>
              <w:bottom w:val="single" w:sz="8" w:space="0" w:color="000000"/>
              <w:right w:val="single" w:sz="8" w:space="0" w:color="000000"/>
            </w:tcBorders>
            <w:shd w:val="clear" w:color="auto" w:fill="auto"/>
            <w:vAlign w:val="center"/>
          </w:tcPr>
          <w:p w14:paraId="00873AF4" w14:textId="77777777" w:rsidR="006041CA" w:rsidRDefault="001271CC">
            <w:pPr>
              <w:spacing w:after="120" w:line="360" w:lineRule="auto"/>
              <w:jc w:val="center"/>
              <w:rPr>
                <w:b/>
              </w:rPr>
            </w:pPr>
            <w:r>
              <w:rPr>
                <w:b/>
              </w:rPr>
              <w:t> </w:t>
            </w:r>
          </w:p>
        </w:tc>
        <w:tc>
          <w:tcPr>
            <w:tcW w:w="1849" w:type="dxa"/>
            <w:tcBorders>
              <w:top w:val="nil"/>
              <w:left w:val="nil"/>
              <w:bottom w:val="single" w:sz="8" w:space="0" w:color="000000"/>
              <w:right w:val="single" w:sz="8" w:space="0" w:color="000000"/>
            </w:tcBorders>
            <w:shd w:val="clear" w:color="auto" w:fill="auto"/>
            <w:vAlign w:val="center"/>
          </w:tcPr>
          <w:p w14:paraId="5EED6121" w14:textId="77777777" w:rsidR="006041CA" w:rsidRDefault="001271CC">
            <w:pPr>
              <w:spacing w:after="120" w:line="360" w:lineRule="auto"/>
            </w:pPr>
            <w:r>
              <w:t>Contar con la información precisa que alimenta las variables de los indicadores de la MIR del Pp, además de las frecuencias de medición de los mismos.</w:t>
            </w:r>
          </w:p>
        </w:tc>
      </w:tr>
      <w:tr w:rsidR="006041CA" w14:paraId="744604FA" w14:textId="77777777">
        <w:trPr>
          <w:trHeight w:val="915"/>
        </w:trPr>
        <w:tc>
          <w:tcPr>
            <w:tcW w:w="462" w:type="dxa"/>
            <w:tcBorders>
              <w:top w:val="nil"/>
              <w:left w:val="single" w:sz="8" w:space="0" w:color="000000"/>
              <w:bottom w:val="single" w:sz="8" w:space="0" w:color="000000"/>
              <w:right w:val="single" w:sz="8" w:space="0" w:color="000000"/>
            </w:tcBorders>
            <w:shd w:val="clear" w:color="auto" w:fill="auto"/>
            <w:vAlign w:val="center"/>
          </w:tcPr>
          <w:p w14:paraId="3F9229D2" w14:textId="77777777" w:rsidR="006041CA" w:rsidRDefault="001271CC">
            <w:pPr>
              <w:spacing w:after="120" w:line="360" w:lineRule="auto"/>
              <w:jc w:val="center"/>
              <w:rPr>
                <w:color w:val="000000"/>
              </w:rPr>
            </w:pPr>
            <w:r>
              <w:rPr>
                <w:color w:val="000000"/>
              </w:rPr>
              <w:t>2</w:t>
            </w:r>
          </w:p>
        </w:tc>
        <w:tc>
          <w:tcPr>
            <w:tcW w:w="3118" w:type="dxa"/>
            <w:tcBorders>
              <w:top w:val="nil"/>
              <w:left w:val="nil"/>
              <w:bottom w:val="single" w:sz="8" w:space="0" w:color="000000"/>
              <w:right w:val="single" w:sz="8" w:space="0" w:color="000000"/>
            </w:tcBorders>
            <w:shd w:val="clear" w:color="auto" w:fill="auto"/>
            <w:vAlign w:val="center"/>
          </w:tcPr>
          <w:p w14:paraId="655B3434" w14:textId="77777777" w:rsidR="006041CA" w:rsidRDefault="001271CC">
            <w:pPr>
              <w:spacing w:after="120" w:line="360" w:lineRule="auto"/>
            </w:pPr>
            <w:r>
              <w:t>2: Definir un indicador que mida la dimensión de Eficacia y Calidad a nivel de Componente, con el objeto de evaluar el grado de cumplimiento del objetivo y la oportunidad con la que se entregan los servicios educativos.</w:t>
            </w:r>
          </w:p>
        </w:tc>
        <w:tc>
          <w:tcPr>
            <w:tcW w:w="1067" w:type="dxa"/>
            <w:tcBorders>
              <w:top w:val="nil"/>
              <w:left w:val="nil"/>
              <w:bottom w:val="single" w:sz="8" w:space="0" w:color="000000"/>
              <w:right w:val="single" w:sz="8" w:space="0" w:color="000000"/>
            </w:tcBorders>
            <w:shd w:val="clear" w:color="auto" w:fill="auto"/>
            <w:vAlign w:val="center"/>
          </w:tcPr>
          <w:p w14:paraId="76EEA3B3" w14:textId="77777777" w:rsidR="006041CA" w:rsidRDefault="001271CC">
            <w:pPr>
              <w:spacing w:after="120" w:line="360" w:lineRule="auto"/>
              <w:jc w:val="center"/>
            </w:pPr>
            <w:r>
              <w:t>8</w:t>
            </w:r>
          </w:p>
        </w:tc>
        <w:tc>
          <w:tcPr>
            <w:tcW w:w="381" w:type="dxa"/>
            <w:tcBorders>
              <w:top w:val="nil"/>
              <w:left w:val="nil"/>
              <w:bottom w:val="single" w:sz="8" w:space="0" w:color="000000"/>
              <w:right w:val="single" w:sz="8" w:space="0" w:color="000000"/>
            </w:tcBorders>
            <w:shd w:val="clear" w:color="auto" w:fill="auto"/>
            <w:vAlign w:val="center"/>
          </w:tcPr>
          <w:p w14:paraId="3C0B110C" w14:textId="77777777" w:rsidR="006041CA" w:rsidRDefault="001271CC">
            <w:pPr>
              <w:spacing w:after="120" w:line="360" w:lineRule="auto"/>
              <w:jc w:val="center"/>
              <w:rPr>
                <w:b/>
              </w:rPr>
            </w:pPr>
            <w:r>
              <w:rPr>
                <w:b/>
              </w:rPr>
              <w:t>X</w:t>
            </w:r>
          </w:p>
        </w:tc>
        <w:tc>
          <w:tcPr>
            <w:tcW w:w="332" w:type="dxa"/>
            <w:tcBorders>
              <w:top w:val="nil"/>
              <w:left w:val="nil"/>
              <w:bottom w:val="single" w:sz="8" w:space="0" w:color="000000"/>
              <w:right w:val="single" w:sz="8" w:space="0" w:color="000000"/>
            </w:tcBorders>
            <w:shd w:val="clear" w:color="auto" w:fill="auto"/>
            <w:vAlign w:val="center"/>
          </w:tcPr>
          <w:p w14:paraId="0F99DF7D" w14:textId="77777777" w:rsidR="006041CA" w:rsidRDefault="001271CC">
            <w:pPr>
              <w:spacing w:after="120" w:line="360" w:lineRule="auto"/>
              <w:jc w:val="center"/>
              <w:rPr>
                <w:b/>
              </w:rPr>
            </w:pPr>
            <w:r>
              <w:rPr>
                <w:b/>
              </w:rPr>
              <w:t> </w:t>
            </w:r>
          </w:p>
        </w:tc>
        <w:tc>
          <w:tcPr>
            <w:tcW w:w="477" w:type="dxa"/>
            <w:tcBorders>
              <w:top w:val="nil"/>
              <w:left w:val="nil"/>
              <w:bottom w:val="single" w:sz="8" w:space="0" w:color="000000"/>
              <w:right w:val="single" w:sz="8" w:space="0" w:color="000000"/>
            </w:tcBorders>
            <w:shd w:val="clear" w:color="auto" w:fill="auto"/>
            <w:vAlign w:val="center"/>
          </w:tcPr>
          <w:p w14:paraId="1D1F87FE" w14:textId="77777777" w:rsidR="006041CA" w:rsidRDefault="001271CC">
            <w:pPr>
              <w:spacing w:after="120" w:line="360" w:lineRule="auto"/>
              <w:jc w:val="center"/>
              <w:rPr>
                <w:b/>
              </w:rPr>
            </w:pPr>
            <w:r>
              <w:rPr>
                <w:b/>
              </w:rPr>
              <w:t> </w:t>
            </w:r>
          </w:p>
        </w:tc>
        <w:tc>
          <w:tcPr>
            <w:tcW w:w="473" w:type="dxa"/>
            <w:tcBorders>
              <w:top w:val="nil"/>
              <w:left w:val="nil"/>
              <w:bottom w:val="single" w:sz="8" w:space="0" w:color="000000"/>
              <w:right w:val="single" w:sz="8" w:space="0" w:color="000000"/>
            </w:tcBorders>
            <w:shd w:val="clear" w:color="auto" w:fill="auto"/>
            <w:vAlign w:val="center"/>
          </w:tcPr>
          <w:p w14:paraId="5DB0DCFC" w14:textId="77777777" w:rsidR="006041CA" w:rsidRDefault="001271CC">
            <w:pPr>
              <w:spacing w:after="120" w:line="360" w:lineRule="auto"/>
              <w:jc w:val="center"/>
              <w:rPr>
                <w:b/>
              </w:rPr>
            </w:pPr>
            <w:r>
              <w:rPr>
                <w:b/>
              </w:rPr>
              <w:t> </w:t>
            </w:r>
          </w:p>
        </w:tc>
        <w:tc>
          <w:tcPr>
            <w:tcW w:w="522" w:type="dxa"/>
            <w:tcBorders>
              <w:top w:val="nil"/>
              <w:left w:val="nil"/>
              <w:bottom w:val="single" w:sz="8" w:space="0" w:color="000000"/>
              <w:right w:val="single" w:sz="8" w:space="0" w:color="000000"/>
            </w:tcBorders>
            <w:shd w:val="clear" w:color="auto" w:fill="auto"/>
            <w:vAlign w:val="center"/>
          </w:tcPr>
          <w:p w14:paraId="651A94D9" w14:textId="77777777" w:rsidR="006041CA" w:rsidRDefault="001271CC">
            <w:pPr>
              <w:spacing w:after="120" w:line="360" w:lineRule="auto"/>
              <w:jc w:val="center"/>
              <w:rPr>
                <w:b/>
              </w:rPr>
            </w:pPr>
            <w:r>
              <w:rPr>
                <w:b/>
              </w:rPr>
              <w:t> </w:t>
            </w:r>
          </w:p>
        </w:tc>
        <w:tc>
          <w:tcPr>
            <w:tcW w:w="734" w:type="dxa"/>
            <w:tcBorders>
              <w:top w:val="nil"/>
              <w:left w:val="nil"/>
              <w:bottom w:val="single" w:sz="8" w:space="0" w:color="000000"/>
              <w:right w:val="single" w:sz="8" w:space="0" w:color="000000"/>
            </w:tcBorders>
            <w:shd w:val="clear" w:color="auto" w:fill="auto"/>
            <w:vAlign w:val="center"/>
          </w:tcPr>
          <w:p w14:paraId="47CD38DA" w14:textId="77777777" w:rsidR="006041CA" w:rsidRDefault="001271CC">
            <w:pPr>
              <w:spacing w:after="120" w:line="360" w:lineRule="auto"/>
              <w:jc w:val="center"/>
              <w:rPr>
                <w:b/>
              </w:rPr>
            </w:pPr>
            <w:r>
              <w:rPr>
                <w:b/>
              </w:rPr>
              <w:t>X</w:t>
            </w:r>
          </w:p>
        </w:tc>
        <w:tc>
          <w:tcPr>
            <w:tcW w:w="547" w:type="dxa"/>
            <w:tcBorders>
              <w:top w:val="nil"/>
              <w:left w:val="nil"/>
              <w:bottom w:val="single" w:sz="8" w:space="0" w:color="000000"/>
              <w:right w:val="single" w:sz="8" w:space="0" w:color="000000"/>
            </w:tcBorders>
            <w:shd w:val="clear" w:color="auto" w:fill="auto"/>
            <w:vAlign w:val="center"/>
          </w:tcPr>
          <w:p w14:paraId="270ACBE1" w14:textId="77777777" w:rsidR="006041CA" w:rsidRDefault="001271CC">
            <w:pPr>
              <w:spacing w:after="120" w:line="360" w:lineRule="auto"/>
              <w:jc w:val="center"/>
              <w:rPr>
                <w:b/>
              </w:rPr>
            </w:pPr>
            <w:r>
              <w:rPr>
                <w:b/>
              </w:rPr>
              <w:t> </w:t>
            </w:r>
          </w:p>
        </w:tc>
        <w:tc>
          <w:tcPr>
            <w:tcW w:w="1849" w:type="dxa"/>
            <w:tcBorders>
              <w:top w:val="nil"/>
              <w:left w:val="nil"/>
              <w:bottom w:val="single" w:sz="8" w:space="0" w:color="000000"/>
              <w:right w:val="single" w:sz="8" w:space="0" w:color="000000"/>
            </w:tcBorders>
            <w:shd w:val="clear" w:color="auto" w:fill="auto"/>
            <w:vAlign w:val="center"/>
          </w:tcPr>
          <w:p w14:paraId="643C318E" w14:textId="77777777" w:rsidR="006041CA" w:rsidRDefault="001271CC">
            <w:pPr>
              <w:spacing w:after="120" w:line="360" w:lineRule="auto"/>
            </w:pPr>
            <w:r>
              <w:t>Contar con indicadores estratégicos a nivel de Componente de la MIR del Pp que mida alguna dimensión de Eficacia o Calidad.</w:t>
            </w:r>
          </w:p>
        </w:tc>
      </w:tr>
    </w:tbl>
    <w:p w14:paraId="3D39D658" w14:textId="77777777" w:rsidR="006041CA" w:rsidRDefault="006041CA">
      <w:pPr>
        <w:tabs>
          <w:tab w:val="left" w:pos="1298"/>
        </w:tabs>
        <w:spacing w:after="120" w:line="360" w:lineRule="auto"/>
      </w:pPr>
    </w:p>
    <w:p w14:paraId="6EE0BA9E" w14:textId="77777777" w:rsidR="006041CA" w:rsidRDefault="006041CA">
      <w:pPr>
        <w:spacing w:after="120" w:line="360" w:lineRule="auto"/>
      </w:pPr>
    </w:p>
    <w:p w14:paraId="3E6438A2" w14:textId="77777777" w:rsidR="006041CA" w:rsidRDefault="006041CA">
      <w:pPr>
        <w:spacing w:after="120" w:line="360" w:lineRule="auto"/>
      </w:pPr>
    </w:p>
    <w:p w14:paraId="25DD74CC" w14:textId="77777777" w:rsidR="006041CA" w:rsidRDefault="006041CA">
      <w:pPr>
        <w:spacing w:after="120" w:line="360" w:lineRule="auto"/>
      </w:pPr>
    </w:p>
    <w:p w14:paraId="3BD676B3"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2D947A89" w14:textId="77777777" w:rsidR="006041CA" w:rsidRDefault="006041CA">
      <w:pPr>
        <w:spacing w:after="120" w:line="360" w:lineRule="auto"/>
      </w:pPr>
    </w:p>
    <w:p w14:paraId="342D9484"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53A74F03"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548F15BB"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10419981" w14:textId="77777777" w:rsidR="006041CA" w:rsidRDefault="006041CA">
      <w:pPr>
        <w:pStyle w:val="Ttulo1"/>
        <w:spacing w:before="0" w:after="120" w:line="360" w:lineRule="auto"/>
        <w:rPr>
          <w:rFonts w:ascii="Calibri" w:eastAsia="Calibri" w:hAnsi="Calibri" w:cs="Calibri"/>
          <w:b/>
          <w:color w:val="000000"/>
          <w:sz w:val="52"/>
          <w:szCs w:val="52"/>
        </w:rPr>
      </w:pPr>
    </w:p>
    <w:p w14:paraId="3FAA92ED" w14:textId="77777777" w:rsidR="006041CA" w:rsidRDefault="001271CC">
      <w:pPr>
        <w:pStyle w:val="Ttulo1"/>
        <w:spacing w:before="0" w:after="120" w:line="360" w:lineRule="auto"/>
        <w:jc w:val="center"/>
        <w:rPr>
          <w:rFonts w:ascii="Calibri" w:eastAsia="Calibri" w:hAnsi="Calibri" w:cs="Calibri"/>
          <w:b/>
          <w:color w:val="660033"/>
          <w:sz w:val="52"/>
          <w:szCs w:val="52"/>
        </w:rPr>
      </w:pPr>
      <w:bookmarkStart w:id="10" w:name="_heading=h.2s8eyo1" w:colFirst="0" w:colLast="0"/>
      <w:bookmarkEnd w:id="10"/>
      <w:r>
        <w:rPr>
          <w:rFonts w:ascii="Calibri" w:eastAsia="Calibri" w:hAnsi="Calibri" w:cs="Calibri"/>
          <w:b/>
          <w:color w:val="660033"/>
          <w:sz w:val="52"/>
          <w:szCs w:val="52"/>
        </w:rPr>
        <w:t>Anexo 4. Hallazgos</w:t>
      </w:r>
    </w:p>
    <w:p w14:paraId="0DD35642" w14:textId="77777777" w:rsidR="006041CA" w:rsidRDefault="001271CC">
      <w:pPr>
        <w:spacing w:after="120" w:line="360" w:lineRule="auto"/>
      </w:pPr>
      <w:r>
        <w:br w:type="page"/>
      </w:r>
    </w:p>
    <w:tbl>
      <w:tblPr>
        <w:tblStyle w:val="a8"/>
        <w:tblW w:w="9962" w:type="dxa"/>
        <w:tblInd w:w="-10" w:type="dxa"/>
        <w:tblLayout w:type="fixed"/>
        <w:tblLook w:val="0400" w:firstRow="0" w:lastRow="0" w:firstColumn="0" w:lastColumn="0" w:noHBand="0" w:noVBand="1"/>
      </w:tblPr>
      <w:tblGrid>
        <w:gridCol w:w="2590"/>
        <w:gridCol w:w="7372"/>
      </w:tblGrid>
      <w:tr w:rsidR="006041CA" w14:paraId="24F7D383" w14:textId="77777777">
        <w:trPr>
          <w:trHeight w:val="315"/>
        </w:trPr>
        <w:tc>
          <w:tcPr>
            <w:tcW w:w="2590" w:type="dxa"/>
            <w:tcBorders>
              <w:top w:val="single" w:sz="8" w:space="0" w:color="000000"/>
              <w:left w:val="single" w:sz="8" w:space="0" w:color="000000"/>
              <w:bottom w:val="single" w:sz="8" w:space="0" w:color="000000"/>
              <w:right w:val="single" w:sz="8" w:space="0" w:color="000000"/>
            </w:tcBorders>
            <w:shd w:val="clear" w:color="auto" w:fill="6C0C4C"/>
            <w:vAlign w:val="center"/>
          </w:tcPr>
          <w:p w14:paraId="7FA0D260" w14:textId="77777777" w:rsidR="006041CA" w:rsidRDefault="001271CC">
            <w:pPr>
              <w:spacing w:after="120" w:line="360" w:lineRule="auto"/>
              <w:jc w:val="center"/>
              <w:rPr>
                <w:b/>
                <w:color w:val="FFFFFF"/>
              </w:rPr>
            </w:pPr>
            <w:r>
              <w:rPr>
                <w:b/>
                <w:color w:val="FFFFFF"/>
              </w:rPr>
              <w:t>Ruta de Referencia</w:t>
            </w:r>
          </w:p>
        </w:tc>
        <w:tc>
          <w:tcPr>
            <w:tcW w:w="7372" w:type="dxa"/>
            <w:tcBorders>
              <w:top w:val="single" w:sz="8" w:space="0" w:color="000000"/>
              <w:left w:val="nil"/>
              <w:bottom w:val="nil"/>
              <w:right w:val="single" w:sz="8" w:space="0" w:color="000000"/>
            </w:tcBorders>
            <w:shd w:val="clear" w:color="auto" w:fill="6C0C4C"/>
            <w:vAlign w:val="center"/>
          </w:tcPr>
          <w:p w14:paraId="57B3BA1D" w14:textId="77777777" w:rsidR="006041CA" w:rsidRDefault="001271CC">
            <w:pPr>
              <w:spacing w:after="120" w:line="360" w:lineRule="auto"/>
              <w:jc w:val="center"/>
              <w:rPr>
                <w:b/>
                <w:color w:val="FFFFFF"/>
              </w:rPr>
            </w:pPr>
            <w:r>
              <w:rPr>
                <w:b/>
                <w:color w:val="FFFFFF"/>
              </w:rPr>
              <w:t>Hallazgo</w:t>
            </w:r>
          </w:p>
        </w:tc>
      </w:tr>
      <w:tr w:rsidR="006041CA" w14:paraId="223B5BC0" w14:textId="77777777">
        <w:trPr>
          <w:trHeight w:val="3315"/>
        </w:trPr>
        <w:tc>
          <w:tcPr>
            <w:tcW w:w="2590" w:type="dxa"/>
            <w:tcBorders>
              <w:top w:val="nil"/>
              <w:left w:val="single" w:sz="8" w:space="0" w:color="000000"/>
              <w:bottom w:val="single" w:sz="8" w:space="0" w:color="000000"/>
              <w:right w:val="single" w:sz="8" w:space="0" w:color="000000"/>
            </w:tcBorders>
            <w:shd w:val="clear" w:color="auto" w:fill="auto"/>
            <w:vAlign w:val="center"/>
          </w:tcPr>
          <w:p w14:paraId="527A0E6C" w14:textId="77777777" w:rsidR="006041CA" w:rsidRDefault="001271CC">
            <w:pPr>
              <w:spacing w:after="120" w:line="360" w:lineRule="auto"/>
              <w:rPr>
                <w:b/>
                <w:color w:val="000000"/>
              </w:rPr>
            </w:pPr>
            <w:r>
              <w:rPr>
                <w:b/>
                <w:color w:val="000000"/>
              </w:rPr>
              <w:t>I. Resultados</w:t>
            </w:r>
          </w:p>
        </w:tc>
        <w:tc>
          <w:tcPr>
            <w:tcW w:w="7372" w:type="dxa"/>
            <w:tcBorders>
              <w:top w:val="nil"/>
              <w:left w:val="nil"/>
              <w:bottom w:val="single" w:sz="8" w:space="0" w:color="000000"/>
              <w:right w:val="single" w:sz="8" w:space="0" w:color="000000"/>
            </w:tcBorders>
            <w:shd w:val="clear" w:color="auto" w:fill="auto"/>
            <w:vAlign w:val="center"/>
          </w:tcPr>
          <w:p w14:paraId="2F882A2A" w14:textId="77777777" w:rsidR="006041CA" w:rsidRDefault="001271CC">
            <w:pPr>
              <w:spacing w:after="120" w:line="360" w:lineRule="auto"/>
              <w:jc w:val="both"/>
              <w:rPr>
                <w:color w:val="000000"/>
              </w:rPr>
            </w:pPr>
            <w:r>
              <w:rPr>
                <w:color w:val="000000"/>
              </w:rPr>
              <w:t>Los objetivos del Programa presupuestario son congruentes con los resultados definidos en la normatividad Federal correspondiente al FONE.</w:t>
            </w:r>
          </w:p>
          <w:p w14:paraId="15C65A70" w14:textId="77777777" w:rsidR="006041CA" w:rsidRDefault="001271CC">
            <w:pPr>
              <w:spacing w:after="120" w:line="360" w:lineRule="auto"/>
              <w:jc w:val="both"/>
              <w:rPr>
                <w:color w:val="000000"/>
              </w:rPr>
            </w:pPr>
            <w:r>
              <w:rPr>
                <w:color w:val="000000"/>
              </w:rPr>
              <w:t>Se define una estrategia de cobertura estatal, en la cual es posible identificar la población objetivo del Programa presupuestario, la cual es congruente con lo señalado en la normatividad federal.</w:t>
            </w:r>
          </w:p>
          <w:p w14:paraId="7588319B" w14:textId="77777777" w:rsidR="006041CA" w:rsidRDefault="001271CC">
            <w:pPr>
              <w:spacing w:after="120" w:line="360" w:lineRule="auto"/>
              <w:jc w:val="both"/>
              <w:rPr>
                <w:color w:val="000000"/>
              </w:rPr>
            </w:pPr>
            <w:r>
              <w:rPr>
                <w:color w:val="000000"/>
              </w:rPr>
              <w:t>Los indicadores de resultados y de Componentes del Programa presupuestario cumplen con el criterio de Relevante, ya que miden aspectos sustantivos del objetivo.</w:t>
            </w:r>
          </w:p>
          <w:p w14:paraId="04E40CFC" w14:textId="77777777" w:rsidR="006041CA" w:rsidRDefault="001271CC">
            <w:pPr>
              <w:spacing w:after="120" w:line="360" w:lineRule="auto"/>
              <w:jc w:val="both"/>
              <w:rPr>
                <w:color w:val="000000"/>
              </w:rPr>
            </w:pPr>
            <w:r>
              <w:rPr>
                <w:color w:val="000000"/>
              </w:rPr>
              <w:t>Los resultados de los indicadores estratégicos del Pp son aceptables, ya que de acuerdo al ejercicio fiscal 2023 se cumplieron en su totalidad.</w:t>
            </w:r>
          </w:p>
          <w:p w14:paraId="3BD2D4D2" w14:textId="77777777" w:rsidR="006041CA" w:rsidRDefault="001271CC">
            <w:pPr>
              <w:spacing w:after="120" w:line="360" w:lineRule="auto"/>
              <w:jc w:val="both"/>
              <w:rPr>
                <w:color w:val="000000"/>
              </w:rPr>
            </w:pPr>
            <w:r>
              <w:rPr>
                <w:color w:val="000000"/>
              </w:rPr>
              <w:t>Se cumple con el criterio de evaluabilidad de los indicadores de resultados, ya que se definen los medios de verificación y fuentes de información que se utilizan para la información de las variables de las fórmulas de cálculo.</w:t>
            </w:r>
          </w:p>
        </w:tc>
      </w:tr>
      <w:tr w:rsidR="006041CA" w14:paraId="53D28D0D" w14:textId="77777777">
        <w:trPr>
          <w:trHeight w:val="905"/>
        </w:trPr>
        <w:tc>
          <w:tcPr>
            <w:tcW w:w="2590" w:type="dxa"/>
            <w:tcBorders>
              <w:top w:val="nil"/>
              <w:left w:val="single" w:sz="8" w:space="0" w:color="000000"/>
              <w:bottom w:val="single" w:sz="8" w:space="0" w:color="000000"/>
              <w:right w:val="single" w:sz="8" w:space="0" w:color="000000"/>
            </w:tcBorders>
            <w:shd w:val="clear" w:color="auto" w:fill="auto"/>
            <w:vAlign w:val="center"/>
          </w:tcPr>
          <w:p w14:paraId="5A3B97F6" w14:textId="77777777" w:rsidR="006041CA" w:rsidRDefault="001271CC">
            <w:pPr>
              <w:spacing w:after="120" w:line="360" w:lineRule="auto"/>
              <w:rPr>
                <w:b/>
                <w:color w:val="000000"/>
              </w:rPr>
            </w:pPr>
            <w:r>
              <w:rPr>
                <w:b/>
                <w:color w:val="000000"/>
              </w:rPr>
              <w:t>II. Productos</w:t>
            </w:r>
          </w:p>
        </w:tc>
        <w:tc>
          <w:tcPr>
            <w:tcW w:w="7372" w:type="dxa"/>
            <w:tcBorders>
              <w:top w:val="nil"/>
              <w:left w:val="nil"/>
              <w:bottom w:val="single" w:sz="8" w:space="0" w:color="000000"/>
              <w:right w:val="single" w:sz="8" w:space="0" w:color="000000"/>
            </w:tcBorders>
            <w:shd w:val="clear" w:color="auto" w:fill="auto"/>
            <w:vAlign w:val="center"/>
          </w:tcPr>
          <w:p w14:paraId="3B418F96" w14:textId="77777777" w:rsidR="006041CA" w:rsidRDefault="001271CC">
            <w:pPr>
              <w:spacing w:after="120" w:line="360" w:lineRule="auto"/>
              <w:jc w:val="both"/>
              <w:rPr>
                <w:color w:val="000000"/>
              </w:rPr>
            </w:pPr>
            <w:r>
              <w:rPr>
                <w:color w:val="000000"/>
              </w:rPr>
              <w:t>Ningún indicador a nivel de Componente del Programa presupuestario mide las dimensiones de Calidad o Eficiencia.</w:t>
            </w:r>
          </w:p>
          <w:p w14:paraId="5D2E3173" w14:textId="77777777" w:rsidR="006041CA" w:rsidRDefault="001271CC">
            <w:pPr>
              <w:spacing w:after="120" w:line="360" w:lineRule="auto"/>
              <w:jc w:val="both"/>
              <w:rPr>
                <w:color w:val="000000"/>
              </w:rPr>
            </w:pPr>
            <w:r>
              <w:rPr>
                <w:color w:val="000000"/>
              </w:rPr>
              <w:t>De acuerdo al Formato de la MIR del Programa AE01 Educación Básica, se define que todos los indicadores de los Componentes miden la dimensión de Eficacia; dato correcto de acuerdo a lo señalado en la Guía para el diseño de la Matriz de Indicadores para Resultados donde se describe que un Pp no se está obligado a registrar indicadores para todas las dimensiones descritas.</w:t>
            </w:r>
          </w:p>
          <w:p w14:paraId="502BFF50" w14:textId="77777777" w:rsidR="006041CA" w:rsidRDefault="001271CC">
            <w:pPr>
              <w:spacing w:after="120" w:line="360" w:lineRule="auto"/>
              <w:jc w:val="both"/>
              <w:rPr>
                <w:color w:val="000000"/>
              </w:rPr>
            </w:pPr>
            <w:r>
              <w:rPr>
                <w:color w:val="000000"/>
              </w:rPr>
              <w:t>Todos los indicadores de los Componentes del Pp reportan un cumplimiento del 100% para el ejercicio 2023.</w:t>
            </w:r>
          </w:p>
          <w:p w14:paraId="42EE878A" w14:textId="77777777" w:rsidR="006041CA" w:rsidRDefault="001271CC">
            <w:pPr>
              <w:spacing w:after="120" w:line="360" w:lineRule="auto"/>
              <w:jc w:val="both"/>
              <w:rPr>
                <w:color w:val="000000"/>
              </w:rPr>
            </w:pPr>
            <w:r>
              <w:rPr>
                <w:color w:val="000000"/>
              </w:rPr>
              <w:t>Se valida el criterio de evaluabilidad de la MIR del Programa presupuestario a nivel de Componente, ya que se definen los Medios de Verificación y fuentes de información para obtener la información de las variables para el cálculo de los indicadores. No obstante, sí es necesario incluir la temporalidad de la publicación de dichos medios de verificación.</w:t>
            </w:r>
          </w:p>
        </w:tc>
      </w:tr>
      <w:tr w:rsidR="006041CA" w14:paraId="3EC3666F" w14:textId="77777777">
        <w:trPr>
          <w:trHeight w:val="2415"/>
        </w:trPr>
        <w:tc>
          <w:tcPr>
            <w:tcW w:w="2590" w:type="dxa"/>
            <w:tcBorders>
              <w:top w:val="nil"/>
              <w:left w:val="single" w:sz="8" w:space="0" w:color="000000"/>
              <w:bottom w:val="single" w:sz="8" w:space="0" w:color="000000"/>
              <w:right w:val="single" w:sz="8" w:space="0" w:color="000000"/>
            </w:tcBorders>
            <w:shd w:val="clear" w:color="auto" w:fill="auto"/>
            <w:vAlign w:val="center"/>
          </w:tcPr>
          <w:p w14:paraId="4F7A1658" w14:textId="77777777" w:rsidR="006041CA" w:rsidRDefault="001271CC">
            <w:pPr>
              <w:spacing w:after="120" w:line="360" w:lineRule="auto"/>
              <w:rPr>
                <w:b/>
                <w:color w:val="000000"/>
              </w:rPr>
            </w:pPr>
            <w:r>
              <w:rPr>
                <w:b/>
                <w:color w:val="000000"/>
              </w:rPr>
              <w:t>III. Presupuesto</w:t>
            </w:r>
          </w:p>
        </w:tc>
        <w:tc>
          <w:tcPr>
            <w:tcW w:w="7372" w:type="dxa"/>
            <w:tcBorders>
              <w:top w:val="nil"/>
              <w:left w:val="nil"/>
              <w:bottom w:val="single" w:sz="8" w:space="0" w:color="000000"/>
              <w:right w:val="single" w:sz="8" w:space="0" w:color="000000"/>
            </w:tcBorders>
            <w:shd w:val="clear" w:color="auto" w:fill="auto"/>
            <w:vAlign w:val="center"/>
          </w:tcPr>
          <w:p w14:paraId="19B81A05" w14:textId="77777777" w:rsidR="006041CA" w:rsidRDefault="001271CC">
            <w:pPr>
              <w:spacing w:after="120" w:line="360" w:lineRule="auto"/>
              <w:jc w:val="both"/>
              <w:rPr>
                <w:color w:val="000000"/>
              </w:rPr>
            </w:pPr>
            <w:r>
              <w:rPr>
                <w:color w:val="000000"/>
              </w:rPr>
              <w:t>El ejercicio de los recursos del FONE se destinan al cumplimiento de la entrega de los Componentes del Programa presupuestario AE01 Educación Básica.</w:t>
            </w:r>
          </w:p>
          <w:p w14:paraId="46CAE272" w14:textId="77777777" w:rsidR="006041CA" w:rsidRDefault="001271CC">
            <w:pPr>
              <w:spacing w:after="120" w:line="360" w:lineRule="auto"/>
              <w:jc w:val="both"/>
              <w:rPr>
                <w:color w:val="000000"/>
              </w:rPr>
            </w:pPr>
            <w:r>
              <w:rPr>
                <w:color w:val="000000"/>
              </w:rPr>
              <w:t>Se identifica que los recursos del FONE durante el periodo 2021-2023 los recursos ministrados nominales</w:t>
            </w:r>
            <w:r>
              <w:rPr>
                <w:color w:val="000000"/>
                <w:highlight w:val="yellow"/>
              </w:rPr>
              <w:t xml:space="preserve"> </w:t>
            </w:r>
            <w:r>
              <w:rPr>
                <w:highlight w:val="yellow"/>
              </w:rPr>
              <w:t>se han</w:t>
            </w:r>
            <w:r>
              <w:rPr>
                <w:color w:val="000000"/>
              </w:rPr>
              <w:t xml:space="preserve"> incrementado para cada ejercicio fiscal.</w:t>
            </w:r>
          </w:p>
          <w:p w14:paraId="705E04D4" w14:textId="77777777" w:rsidR="006041CA" w:rsidRDefault="001271CC">
            <w:pPr>
              <w:spacing w:after="120" w:line="360" w:lineRule="auto"/>
              <w:jc w:val="both"/>
              <w:rPr>
                <w:color w:val="000000"/>
              </w:rPr>
            </w:pPr>
            <w:r>
              <w:rPr>
                <w:color w:val="000000"/>
              </w:rPr>
              <w:t>De acuerdo a lo reportado en el SRFT se pagó el 99.9% del recurso ministrado del FONE en el ejercicio 2023.</w:t>
            </w:r>
          </w:p>
          <w:p w14:paraId="61EC3BEA" w14:textId="77777777" w:rsidR="006041CA" w:rsidRDefault="001271CC">
            <w:pPr>
              <w:spacing w:after="120" w:line="360" w:lineRule="auto"/>
              <w:jc w:val="both"/>
              <w:rPr>
                <w:color w:val="000000"/>
              </w:rPr>
            </w:pPr>
            <w:r>
              <w:rPr>
                <w:color w:val="000000"/>
              </w:rPr>
              <w:t>Se identifica una variación del 27.88% del recurso ministrado real respecto al nominal durante el ejercicio fiscal 2023.</w:t>
            </w:r>
          </w:p>
        </w:tc>
      </w:tr>
      <w:tr w:rsidR="006041CA" w14:paraId="65423862" w14:textId="77777777">
        <w:trPr>
          <w:trHeight w:val="2115"/>
        </w:trPr>
        <w:tc>
          <w:tcPr>
            <w:tcW w:w="2590" w:type="dxa"/>
            <w:tcBorders>
              <w:top w:val="nil"/>
              <w:left w:val="single" w:sz="8" w:space="0" w:color="000000"/>
              <w:bottom w:val="single" w:sz="8" w:space="0" w:color="000000"/>
              <w:right w:val="single" w:sz="8" w:space="0" w:color="000000"/>
            </w:tcBorders>
            <w:shd w:val="clear" w:color="auto" w:fill="auto"/>
            <w:vAlign w:val="center"/>
          </w:tcPr>
          <w:p w14:paraId="693D95C6" w14:textId="77777777" w:rsidR="006041CA" w:rsidRDefault="001271CC">
            <w:pPr>
              <w:spacing w:after="120" w:line="360" w:lineRule="auto"/>
              <w:rPr>
                <w:b/>
                <w:color w:val="000000"/>
              </w:rPr>
            </w:pPr>
            <w:r>
              <w:rPr>
                <w:b/>
                <w:color w:val="000000"/>
              </w:rPr>
              <w:t>IV. Cobertura</w:t>
            </w:r>
          </w:p>
        </w:tc>
        <w:tc>
          <w:tcPr>
            <w:tcW w:w="7372" w:type="dxa"/>
            <w:tcBorders>
              <w:top w:val="nil"/>
              <w:left w:val="nil"/>
              <w:bottom w:val="single" w:sz="8" w:space="0" w:color="000000"/>
              <w:right w:val="single" w:sz="8" w:space="0" w:color="000000"/>
            </w:tcBorders>
            <w:shd w:val="clear" w:color="auto" w:fill="auto"/>
            <w:vAlign w:val="center"/>
          </w:tcPr>
          <w:p w14:paraId="7AA7CAE2" w14:textId="77777777" w:rsidR="006041CA" w:rsidRDefault="001271CC">
            <w:pPr>
              <w:spacing w:after="120" w:line="360" w:lineRule="auto"/>
              <w:jc w:val="both"/>
              <w:rPr>
                <w:color w:val="000000"/>
              </w:rPr>
            </w:pPr>
            <w:r>
              <w:rPr>
                <w:color w:val="000000"/>
              </w:rPr>
              <w:t xml:space="preserve">Se cuenta con una Estrategia de Cobertura, la cual es un documento de planeación institucional la cual apoya para la planeación del Programa presupuestario. </w:t>
            </w:r>
            <w:r>
              <w:rPr>
                <w:color w:val="000000"/>
              </w:rPr>
              <w:br/>
              <w:t>La cobertura anual del Programa presupuestario fue del 100% para el ejercicio 2023.</w:t>
            </w:r>
          </w:p>
          <w:p w14:paraId="121F26E8" w14:textId="77777777" w:rsidR="006041CA" w:rsidRDefault="001271CC">
            <w:pPr>
              <w:spacing w:after="120" w:line="360" w:lineRule="auto"/>
              <w:jc w:val="both"/>
              <w:rPr>
                <w:color w:val="000000"/>
              </w:rPr>
            </w:pPr>
            <w:r>
              <w:rPr>
                <w:color w:val="000000"/>
              </w:rPr>
              <w:t>La Eficiencia de Cobertura para el ejercicio 2023 es del 100%, además se identifica que se incrementa la eficiencia de cobertura del 2021 al 2022 y este resultado se sostiene en el ejercicio 2023.</w:t>
            </w:r>
          </w:p>
          <w:p w14:paraId="50244DD9" w14:textId="77777777" w:rsidR="006041CA" w:rsidRDefault="001271CC">
            <w:pPr>
              <w:spacing w:after="120" w:line="360" w:lineRule="auto"/>
              <w:jc w:val="both"/>
              <w:rPr>
                <w:color w:val="000000"/>
              </w:rPr>
            </w:pPr>
            <w:r>
              <w:rPr>
                <w:color w:val="000000"/>
              </w:rPr>
              <w:t>El Costo Efectividad es el esperado para el ejercicio 2023.</w:t>
            </w:r>
          </w:p>
          <w:p w14:paraId="1BCB672F" w14:textId="77777777" w:rsidR="006041CA" w:rsidRDefault="001271CC">
            <w:pPr>
              <w:spacing w:after="120" w:line="360" w:lineRule="auto"/>
              <w:jc w:val="both"/>
              <w:rPr>
                <w:color w:val="000000"/>
              </w:rPr>
            </w:pPr>
            <w:r>
              <w:rPr>
                <w:color w:val="000000"/>
              </w:rPr>
              <w:t>El Costo Promedio por Beneficiario Atendido del ejercicio fiscal 2023 es de $26,376.44 pesos.</w:t>
            </w:r>
          </w:p>
        </w:tc>
      </w:tr>
      <w:tr w:rsidR="006041CA" w14:paraId="3C0DB804" w14:textId="77777777">
        <w:trPr>
          <w:trHeight w:val="905"/>
        </w:trPr>
        <w:tc>
          <w:tcPr>
            <w:tcW w:w="2590" w:type="dxa"/>
            <w:tcBorders>
              <w:top w:val="nil"/>
              <w:left w:val="single" w:sz="8" w:space="0" w:color="000000"/>
              <w:bottom w:val="single" w:sz="8" w:space="0" w:color="000000"/>
              <w:right w:val="single" w:sz="8" w:space="0" w:color="000000"/>
            </w:tcBorders>
            <w:shd w:val="clear" w:color="auto" w:fill="auto"/>
            <w:vAlign w:val="center"/>
          </w:tcPr>
          <w:p w14:paraId="3879FE4A" w14:textId="77777777" w:rsidR="006041CA" w:rsidRDefault="001271CC">
            <w:pPr>
              <w:spacing w:after="120" w:line="360" w:lineRule="auto"/>
              <w:rPr>
                <w:b/>
                <w:color w:val="000000"/>
              </w:rPr>
            </w:pPr>
            <w:r>
              <w:rPr>
                <w:b/>
                <w:color w:val="000000"/>
              </w:rPr>
              <w:t>V. Seguimiento a los ASM</w:t>
            </w:r>
          </w:p>
        </w:tc>
        <w:tc>
          <w:tcPr>
            <w:tcW w:w="7372" w:type="dxa"/>
            <w:tcBorders>
              <w:top w:val="nil"/>
              <w:left w:val="nil"/>
              <w:bottom w:val="single" w:sz="8" w:space="0" w:color="000000"/>
              <w:right w:val="single" w:sz="8" w:space="0" w:color="000000"/>
            </w:tcBorders>
            <w:shd w:val="clear" w:color="auto" w:fill="auto"/>
            <w:vAlign w:val="center"/>
          </w:tcPr>
          <w:p w14:paraId="3B1D2BEF" w14:textId="77777777" w:rsidR="006041CA" w:rsidRDefault="001271CC">
            <w:pPr>
              <w:spacing w:after="120" w:line="360" w:lineRule="auto"/>
              <w:jc w:val="both"/>
              <w:rPr>
                <w:color w:val="000000"/>
              </w:rPr>
            </w:pPr>
            <w:r>
              <w:rPr>
                <w:color w:val="000000"/>
              </w:rPr>
              <w:t>Se cuenta con documentos de trabajo donde se identifica que se han atendido los ASM aceptados en el Documento de Posición Institucional.</w:t>
            </w:r>
          </w:p>
          <w:p w14:paraId="692B3B80" w14:textId="77777777" w:rsidR="006041CA" w:rsidRDefault="001271CC">
            <w:pPr>
              <w:spacing w:after="120" w:line="360" w:lineRule="auto"/>
              <w:jc w:val="both"/>
              <w:rPr>
                <w:color w:val="000000"/>
              </w:rPr>
            </w:pPr>
            <w:r>
              <w:rPr>
                <w:color w:val="000000"/>
              </w:rPr>
              <w:t>Las Recomendaciones emitidas en el formato de evaluación del ejercicio fiscal inmediato anterior se clasificaron y validaron por el ente público encargado del Programa presupuestario.</w:t>
            </w:r>
          </w:p>
          <w:p w14:paraId="3A9688DF" w14:textId="77777777" w:rsidR="006041CA" w:rsidRDefault="001271CC">
            <w:pPr>
              <w:spacing w:after="120" w:line="360" w:lineRule="auto"/>
              <w:jc w:val="both"/>
              <w:rPr>
                <w:color w:val="000000"/>
              </w:rPr>
            </w:pPr>
            <w:r>
              <w:rPr>
                <w:color w:val="000000"/>
              </w:rPr>
              <w:t>De acuerdo al reporte de seguimiento a los ASM del 2° Trimestre, se identifica que sólo una de las tres Actividades definidas presenta avance de cumplimiento.</w:t>
            </w:r>
          </w:p>
        </w:tc>
      </w:tr>
      <w:tr w:rsidR="006041CA" w14:paraId="5735B789" w14:textId="77777777">
        <w:trPr>
          <w:trHeight w:val="540"/>
        </w:trPr>
        <w:tc>
          <w:tcPr>
            <w:tcW w:w="2590" w:type="dxa"/>
            <w:vMerge w:val="restart"/>
            <w:tcBorders>
              <w:top w:val="nil"/>
              <w:left w:val="single" w:sz="8" w:space="0" w:color="000000"/>
              <w:bottom w:val="single" w:sz="8" w:space="0" w:color="000000"/>
              <w:right w:val="single" w:sz="8" w:space="0" w:color="000000"/>
            </w:tcBorders>
            <w:shd w:val="clear" w:color="auto" w:fill="auto"/>
            <w:vAlign w:val="center"/>
          </w:tcPr>
          <w:p w14:paraId="75594598" w14:textId="77777777" w:rsidR="006041CA" w:rsidRDefault="001271CC">
            <w:pPr>
              <w:spacing w:after="120" w:line="360" w:lineRule="auto"/>
              <w:rPr>
                <w:b/>
                <w:color w:val="000000"/>
              </w:rPr>
            </w:pPr>
            <w:r>
              <w:rPr>
                <w:b/>
                <w:color w:val="000000"/>
              </w:rPr>
              <w:t>Principales fortalezas y oportunidades (la más relevante por tema)</w:t>
            </w:r>
          </w:p>
        </w:tc>
        <w:tc>
          <w:tcPr>
            <w:tcW w:w="7372" w:type="dxa"/>
            <w:tcBorders>
              <w:top w:val="nil"/>
              <w:left w:val="nil"/>
              <w:bottom w:val="single" w:sz="8" w:space="0" w:color="000000"/>
              <w:right w:val="single" w:sz="8" w:space="0" w:color="000000"/>
            </w:tcBorders>
            <w:shd w:val="clear" w:color="auto" w:fill="auto"/>
            <w:vAlign w:val="center"/>
          </w:tcPr>
          <w:p w14:paraId="7CCFD7BE" w14:textId="77777777" w:rsidR="006041CA" w:rsidRDefault="001271CC">
            <w:pPr>
              <w:spacing w:after="120" w:line="360" w:lineRule="auto"/>
              <w:jc w:val="both"/>
              <w:rPr>
                <w:color w:val="000000"/>
              </w:rPr>
            </w:pPr>
            <w:r>
              <w:rPr>
                <w:color w:val="000000"/>
              </w:rPr>
              <w:t>Tema I. Los indicadores estratégicos de la MIR del Programa AE01 Educación Básica cumplen con el criterio de Relevante.</w:t>
            </w:r>
          </w:p>
          <w:p w14:paraId="4C949A38" w14:textId="77777777" w:rsidR="006041CA" w:rsidRDefault="001271CC">
            <w:pPr>
              <w:spacing w:after="120" w:line="360" w:lineRule="auto"/>
              <w:jc w:val="both"/>
              <w:rPr>
                <w:color w:val="000000"/>
              </w:rPr>
            </w:pPr>
            <w:r>
              <w:rPr>
                <w:color w:val="000000"/>
              </w:rPr>
              <w:t>Los resultados del Programa presupuestario son congruentes y los esperados de acuerdo a la normatividad Federal del Fondo.</w:t>
            </w:r>
          </w:p>
          <w:p w14:paraId="7BED3C78" w14:textId="77777777" w:rsidR="006041CA" w:rsidRDefault="001271CC">
            <w:pPr>
              <w:spacing w:after="120" w:line="360" w:lineRule="auto"/>
              <w:jc w:val="both"/>
              <w:rPr>
                <w:color w:val="000000"/>
              </w:rPr>
            </w:pPr>
            <w:r>
              <w:rPr>
                <w:color w:val="000000"/>
              </w:rPr>
              <w:t>La mayoría de los indicadores de gestión de la MIR Federal del FONE de responsabilidad estatal se cumplieron, esto de acuerdo  con el parámetro de cumplimiento de las metas de ±10%.</w:t>
            </w:r>
          </w:p>
        </w:tc>
      </w:tr>
      <w:tr w:rsidR="006041CA" w14:paraId="601AB4E7" w14:textId="77777777">
        <w:trPr>
          <w:trHeight w:val="1815"/>
        </w:trPr>
        <w:tc>
          <w:tcPr>
            <w:tcW w:w="2590" w:type="dxa"/>
            <w:vMerge/>
            <w:tcBorders>
              <w:top w:val="nil"/>
              <w:left w:val="single" w:sz="8" w:space="0" w:color="000000"/>
              <w:bottom w:val="single" w:sz="8" w:space="0" w:color="000000"/>
              <w:right w:val="single" w:sz="8" w:space="0" w:color="000000"/>
            </w:tcBorders>
            <w:shd w:val="clear" w:color="auto" w:fill="auto"/>
            <w:vAlign w:val="center"/>
          </w:tcPr>
          <w:p w14:paraId="42CEEAFF" w14:textId="77777777" w:rsidR="006041CA" w:rsidRDefault="006041CA">
            <w:pPr>
              <w:widowControl w:val="0"/>
              <w:pBdr>
                <w:top w:val="nil"/>
                <w:left w:val="nil"/>
                <w:bottom w:val="nil"/>
                <w:right w:val="nil"/>
                <w:between w:val="nil"/>
              </w:pBdr>
              <w:spacing w:after="0" w:line="276" w:lineRule="auto"/>
              <w:rPr>
                <w:color w:val="000000"/>
              </w:rPr>
            </w:pPr>
          </w:p>
        </w:tc>
        <w:tc>
          <w:tcPr>
            <w:tcW w:w="7372" w:type="dxa"/>
            <w:tcBorders>
              <w:top w:val="nil"/>
              <w:left w:val="nil"/>
              <w:bottom w:val="single" w:sz="8" w:space="0" w:color="000000"/>
              <w:right w:val="single" w:sz="8" w:space="0" w:color="000000"/>
            </w:tcBorders>
            <w:shd w:val="clear" w:color="auto" w:fill="auto"/>
            <w:vAlign w:val="center"/>
          </w:tcPr>
          <w:p w14:paraId="171A0584" w14:textId="77777777" w:rsidR="006041CA" w:rsidRDefault="001271CC">
            <w:pPr>
              <w:spacing w:after="120" w:line="360" w:lineRule="auto"/>
              <w:jc w:val="both"/>
              <w:rPr>
                <w:color w:val="000000"/>
              </w:rPr>
            </w:pPr>
            <w:r>
              <w:rPr>
                <w:color w:val="000000"/>
              </w:rPr>
              <w:t>Tema II. Las metas de los indicadores a nivel de Componente del Pp reportan un cumplimiento del 100% para el 2023.</w:t>
            </w:r>
          </w:p>
          <w:p w14:paraId="5C525A5D" w14:textId="77777777" w:rsidR="006041CA" w:rsidRDefault="001271CC">
            <w:pPr>
              <w:spacing w:after="120" w:line="360" w:lineRule="auto"/>
              <w:jc w:val="both"/>
              <w:rPr>
                <w:color w:val="000000"/>
              </w:rPr>
            </w:pPr>
            <w:r>
              <w:rPr>
                <w:color w:val="000000"/>
              </w:rPr>
              <w:t>Se valida el criterio de evaluabilidad de los indicadores a nivel Componente, ya que sí se definen los medios de verificación y fuentes de información.</w:t>
            </w:r>
          </w:p>
          <w:p w14:paraId="5E619194" w14:textId="77777777" w:rsidR="006041CA" w:rsidRDefault="001271CC">
            <w:pPr>
              <w:spacing w:after="120" w:line="360" w:lineRule="auto"/>
              <w:jc w:val="both"/>
              <w:rPr>
                <w:color w:val="000000"/>
              </w:rPr>
            </w:pPr>
            <w:r>
              <w:rPr>
                <w:color w:val="000000"/>
              </w:rPr>
              <w:t>En la Guía para el diseño de la Matriz de Indicadores para Resultados se describe que un Pp no se está obligado a registrar indicadores para todas las dimensiones descritas.</w:t>
            </w:r>
          </w:p>
        </w:tc>
      </w:tr>
      <w:tr w:rsidR="006041CA" w14:paraId="1EF08906" w14:textId="77777777">
        <w:trPr>
          <w:trHeight w:val="1215"/>
        </w:trPr>
        <w:tc>
          <w:tcPr>
            <w:tcW w:w="2590" w:type="dxa"/>
            <w:vMerge/>
            <w:tcBorders>
              <w:top w:val="nil"/>
              <w:left w:val="single" w:sz="8" w:space="0" w:color="000000"/>
              <w:bottom w:val="single" w:sz="8" w:space="0" w:color="000000"/>
              <w:right w:val="single" w:sz="8" w:space="0" w:color="000000"/>
            </w:tcBorders>
            <w:shd w:val="clear" w:color="auto" w:fill="auto"/>
            <w:vAlign w:val="center"/>
          </w:tcPr>
          <w:p w14:paraId="7B9AEF76" w14:textId="77777777" w:rsidR="006041CA" w:rsidRDefault="006041CA">
            <w:pPr>
              <w:widowControl w:val="0"/>
              <w:pBdr>
                <w:top w:val="nil"/>
                <w:left w:val="nil"/>
                <w:bottom w:val="nil"/>
                <w:right w:val="nil"/>
                <w:between w:val="nil"/>
              </w:pBdr>
              <w:spacing w:after="0" w:line="276" w:lineRule="auto"/>
              <w:rPr>
                <w:color w:val="000000"/>
              </w:rPr>
            </w:pPr>
          </w:p>
        </w:tc>
        <w:tc>
          <w:tcPr>
            <w:tcW w:w="7372" w:type="dxa"/>
            <w:tcBorders>
              <w:top w:val="nil"/>
              <w:left w:val="nil"/>
              <w:bottom w:val="single" w:sz="8" w:space="0" w:color="000000"/>
              <w:right w:val="single" w:sz="8" w:space="0" w:color="000000"/>
            </w:tcBorders>
            <w:shd w:val="clear" w:color="auto" w:fill="auto"/>
            <w:vAlign w:val="center"/>
          </w:tcPr>
          <w:p w14:paraId="01E17124" w14:textId="77777777" w:rsidR="006041CA" w:rsidRDefault="001271CC">
            <w:pPr>
              <w:spacing w:after="120" w:line="360" w:lineRule="auto"/>
              <w:jc w:val="both"/>
              <w:rPr>
                <w:color w:val="000000"/>
              </w:rPr>
            </w:pPr>
            <w:r>
              <w:rPr>
                <w:color w:val="000000"/>
              </w:rPr>
              <w:t>Tema III. El ejercicio de los recursos del FONE se apegan a la normatividad aplicable y presenta congruencia con los Componentes de la MIR del Pp.</w:t>
            </w:r>
          </w:p>
          <w:p w14:paraId="40BE1B84" w14:textId="77777777" w:rsidR="006041CA" w:rsidRDefault="001271CC">
            <w:pPr>
              <w:spacing w:after="120" w:line="360" w:lineRule="auto"/>
              <w:jc w:val="both"/>
              <w:rPr>
                <w:color w:val="000000"/>
              </w:rPr>
            </w:pPr>
            <w:r>
              <w:rPr>
                <w:color w:val="000000"/>
              </w:rPr>
              <w:t>Se pagó el 99.9% del recurso ministrado para el ejercicio fiscal 2023.</w:t>
            </w:r>
          </w:p>
          <w:p w14:paraId="58325B97" w14:textId="77777777" w:rsidR="006041CA" w:rsidRDefault="001271CC">
            <w:pPr>
              <w:spacing w:after="120" w:line="360" w:lineRule="auto"/>
              <w:jc w:val="both"/>
              <w:rPr>
                <w:color w:val="000000"/>
              </w:rPr>
            </w:pPr>
            <w:r>
              <w:rPr>
                <w:color w:val="000000"/>
              </w:rPr>
              <w:t>Se presenta un aumento del recurso ministrado nominal durante el periodo 2021-2023.</w:t>
            </w:r>
          </w:p>
        </w:tc>
      </w:tr>
      <w:tr w:rsidR="006041CA" w14:paraId="2DB3C4B3" w14:textId="77777777">
        <w:trPr>
          <w:trHeight w:val="1215"/>
        </w:trPr>
        <w:tc>
          <w:tcPr>
            <w:tcW w:w="2590" w:type="dxa"/>
            <w:vMerge/>
            <w:tcBorders>
              <w:top w:val="nil"/>
              <w:left w:val="single" w:sz="8" w:space="0" w:color="000000"/>
              <w:bottom w:val="single" w:sz="8" w:space="0" w:color="000000"/>
              <w:right w:val="single" w:sz="8" w:space="0" w:color="000000"/>
            </w:tcBorders>
            <w:shd w:val="clear" w:color="auto" w:fill="auto"/>
            <w:vAlign w:val="center"/>
          </w:tcPr>
          <w:p w14:paraId="0CC56481" w14:textId="77777777" w:rsidR="006041CA" w:rsidRDefault="006041CA">
            <w:pPr>
              <w:widowControl w:val="0"/>
              <w:pBdr>
                <w:top w:val="nil"/>
                <w:left w:val="nil"/>
                <w:bottom w:val="nil"/>
                <w:right w:val="nil"/>
                <w:between w:val="nil"/>
              </w:pBdr>
              <w:spacing w:after="0" w:line="276" w:lineRule="auto"/>
              <w:rPr>
                <w:color w:val="000000"/>
              </w:rPr>
            </w:pPr>
          </w:p>
        </w:tc>
        <w:tc>
          <w:tcPr>
            <w:tcW w:w="7372" w:type="dxa"/>
            <w:tcBorders>
              <w:top w:val="nil"/>
              <w:left w:val="nil"/>
              <w:bottom w:val="single" w:sz="8" w:space="0" w:color="000000"/>
              <w:right w:val="single" w:sz="8" w:space="0" w:color="000000"/>
            </w:tcBorders>
            <w:shd w:val="clear" w:color="auto" w:fill="auto"/>
            <w:vAlign w:val="center"/>
          </w:tcPr>
          <w:p w14:paraId="0BAD5A9F" w14:textId="77777777" w:rsidR="006041CA" w:rsidRDefault="001271CC">
            <w:pPr>
              <w:spacing w:after="120" w:line="360" w:lineRule="auto"/>
              <w:jc w:val="both"/>
              <w:rPr>
                <w:color w:val="000000"/>
              </w:rPr>
            </w:pPr>
            <w:r>
              <w:rPr>
                <w:color w:val="000000"/>
              </w:rPr>
              <w:t>Tema IV. Se cuenta con una estrategia de cobertura por parte del ente público encargado del Programa presupuestario.</w:t>
            </w:r>
          </w:p>
          <w:p w14:paraId="147A2A41" w14:textId="77777777" w:rsidR="006041CA" w:rsidRDefault="001271CC">
            <w:pPr>
              <w:spacing w:after="120" w:line="360" w:lineRule="auto"/>
              <w:jc w:val="both"/>
              <w:rPr>
                <w:color w:val="000000"/>
              </w:rPr>
            </w:pPr>
            <w:r>
              <w:rPr>
                <w:color w:val="000000"/>
              </w:rPr>
              <w:t>Para el ejercicio fiscal 2023 se identifica una Eficacia de Cobertura del 100%.</w:t>
            </w:r>
            <w:r>
              <w:rPr>
                <w:color w:val="000000"/>
              </w:rPr>
              <w:br/>
              <w:t>El Costo Efectividad es el esperado para el ejercicio 2023.</w:t>
            </w:r>
          </w:p>
        </w:tc>
      </w:tr>
      <w:tr w:rsidR="006041CA" w14:paraId="559C52B3" w14:textId="77777777">
        <w:trPr>
          <w:trHeight w:val="1215"/>
        </w:trPr>
        <w:tc>
          <w:tcPr>
            <w:tcW w:w="2590" w:type="dxa"/>
            <w:vMerge/>
            <w:tcBorders>
              <w:top w:val="nil"/>
              <w:left w:val="single" w:sz="8" w:space="0" w:color="000000"/>
              <w:bottom w:val="single" w:sz="8" w:space="0" w:color="000000"/>
              <w:right w:val="single" w:sz="8" w:space="0" w:color="000000"/>
            </w:tcBorders>
            <w:shd w:val="clear" w:color="auto" w:fill="auto"/>
            <w:vAlign w:val="center"/>
          </w:tcPr>
          <w:p w14:paraId="648DCCA2" w14:textId="77777777" w:rsidR="006041CA" w:rsidRDefault="006041CA">
            <w:pPr>
              <w:widowControl w:val="0"/>
              <w:pBdr>
                <w:top w:val="nil"/>
                <w:left w:val="nil"/>
                <w:bottom w:val="nil"/>
                <w:right w:val="nil"/>
                <w:between w:val="nil"/>
              </w:pBdr>
              <w:spacing w:after="0" w:line="276" w:lineRule="auto"/>
              <w:rPr>
                <w:color w:val="000000"/>
              </w:rPr>
            </w:pPr>
          </w:p>
        </w:tc>
        <w:tc>
          <w:tcPr>
            <w:tcW w:w="7372" w:type="dxa"/>
            <w:tcBorders>
              <w:top w:val="nil"/>
              <w:left w:val="nil"/>
              <w:bottom w:val="single" w:sz="8" w:space="0" w:color="000000"/>
              <w:right w:val="single" w:sz="8" w:space="0" w:color="000000"/>
            </w:tcBorders>
            <w:shd w:val="clear" w:color="auto" w:fill="auto"/>
            <w:vAlign w:val="center"/>
          </w:tcPr>
          <w:p w14:paraId="2EF0593D" w14:textId="77777777" w:rsidR="006041CA" w:rsidRDefault="001271CC">
            <w:pPr>
              <w:spacing w:after="120" w:line="360" w:lineRule="auto"/>
              <w:jc w:val="both"/>
              <w:rPr>
                <w:color w:val="000000"/>
              </w:rPr>
            </w:pPr>
            <w:r>
              <w:rPr>
                <w:color w:val="000000"/>
              </w:rPr>
              <w:t>Tema V. En los formatos de seguimiento de atención de los ASM es posible identificar las Actividades a realizar para atender los ASM definidos.</w:t>
            </w:r>
            <w:r>
              <w:rPr>
                <w:color w:val="000000"/>
              </w:rPr>
              <w:br/>
              <w:t>Se cuenta con Formatos de seguimiento y control de los ASM aceptados en el documento de Posición Institucional.</w:t>
            </w:r>
          </w:p>
        </w:tc>
      </w:tr>
      <w:tr w:rsidR="006041CA" w14:paraId="7EE199C9" w14:textId="77777777">
        <w:trPr>
          <w:trHeight w:val="615"/>
        </w:trPr>
        <w:tc>
          <w:tcPr>
            <w:tcW w:w="2590" w:type="dxa"/>
            <w:vMerge w:val="restart"/>
            <w:tcBorders>
              <w:top w:val="nil"/>
              <w:left w:val="single" w:sz="8" w:space="0" w:color="000000"/>
              <w:bottom w:val="nil"/>
              <w:right w:val="single" w:sz="8" w:space="0" w:color="000000"/>
            </w:tcBorders>
            <w:shd w:val="clear" w:color="auto" w:fill="auto"/>
            <w:vAlign w:val="center"/>
          </w:tcPr>
          <w:p w14:paraId="691D7930" w14:textId="77777777" w:rsidR="006041CA" w:rsidRDefault="001271CC">
            <w:pPr>
              <w:spacing w:after="120" w:line="360" w:lineRule="auto"/>
              <w:rPr>
                <w:b/>
                <w:color w:val="000000"/>
              </w:rPr>
            </w:pPr>
            <w:r>
              <w:rPr>
                <w:b/>
                <w:color w:val="000000"/>
              </w:rPr>
              <w:t>Principales debilidades y amenazas (la más relevante por tema)</w:t>
            </w:r>
          </w:p>
        </w:tc>
        <w:tc>
          <w:tcPr>
            <w:tcW w:w="7372" w:type="dxa"/>
            <w:tcBorders>
              <w:top w:val="nil"/>
              <w:left w:val="nil"/>
              <w:bottom w:val="single" w:sz="8" w:space="0" w:color="000000"/>
              <w:right w:val="single" w:sz="8" w:space="0" w:color="000000"/>
            </w:tcBorders>
            <w:shd w:val="clear" w:color="auto" w:fill="auto"/>
            <w:vAlign w:val="center"/>
          </w:tcPr>
          <w:p w14:paraId="2ABF1050" w14:textId="77777777" w:rsidR="006041CA" w:rsidRDefault="001271CC">
            <w:pPr>
              <w:spacing w:after="120" w:line="360" w:lineRule="auto"/>
              <w:jc w:val="both"/>
              <w:rPr>
                <w:color w:val="000000"/>
              </w:rPr>
            </w:pPr>
            <w:r>
              <w:rPr>
                <w:color w:val="000000"/>
              </w:rPr>
              <w:t>Tema I. No se define la temporalidad de la publicación de los medios de verificación de los indicadores a nivel de resultados (Fin y Propósito) del Programa presupuestario.</w:t>
            </w:r>
          </w:p>
        </w:tc>
      </w:tr>
      <w:tr w:rsidR="006041CA" w14:paraId="5F67B29A" w14:textId="77777777">
        <w:trPr>
          <w:trHeight w:val="1215"/>
        </w:trPr>
        <w:tc>
          <w:tcPr>
            <w:tcW w:w="2590" w:type="dxa"/>
            <w:vMerge/>
            <w:tcBorders>
              <w:top w:val="nil"/>
              <w:left w:val="single" w:sz="8" w:space="0" w:color="000000"/>
              <w:bottom w:val="nil"/>
              <w:right w:val="single" w:sz="8" w:space="0" w:color="000000"/>
            </w:tcBorders>
            <w:shd w:val="clear" w:color="auto" w:fill="auto"/>
            <w:vAlign w:val="center"/>
          </w:tcPr>
          <w:p w14:paraId="2FD5B439" w14:textId="77777777" w:rsidR="006041CA" w:rsidRDefault="006041CA">
            <w:pPr>
              <w:widowControl w:val="0"/>
              <w:pBdr>
                <w:top w:val="nil"/>
                <w:left w:val="nil"/>
                <w:bottom w:val="nil"/>
                <w:right w:val="nil"/>
                <w:between w:val="nil"/>
              </w:pBdr>
              <w:spacing w:after="0" w:line="276" w:lineRule="auto"/>
              <w:rPr>
                <w:color w:val="000000"/>
              </w:rPr>
            </w:pPr>
          </w:p>
        </w:tc>
        <w:tc>
          <w:tcPr>
            <w:tcW w:w="7372" w:type="dxa"/>
            <w:tcBorders>
              <w:top w:val="nil"/>
              <w:left w:val="nil"/>
              <w:bottom w:val="single" w:sz="8" w:space="0" w:color="000000"/>
              <w:right w:val="single" w:sz="8" w:space="0" w:color="000000"/>
            </w:tcBorders>
            <w:shd w:val="clear" w:color="auto" w:fill="auto"/>
            <w:vAlign w:val="center"/>
          </w:tcPr>
          <w:p w14:paraId="346FC074" w14:textId="77777777" w:rsidR="006041CA" w:rsidRDefault="001271CC">
            <w:pPr>
              <w:spacing w:after="120" w:line="360" w:lineRule="auto"/>
              <w:jc w:val="both"/>
              <w:rPr>
                <w:color w:val="000000"/>
              </w:rPr>
            </w:pPr>
            <w:r>
              <w:rPr>
                <w:color w:val="000000"/>
              </w:rPr>
              <w:t>Tema II. En los Formatos de los Indicadores de la MIR del Programa presupuestario se define que los indicadores a nivel de Componente sólo miden la dimensión de eficacia.</w:t>
            </w:r>
          </w:p>
          <w:p w14:paraId="3E370280" w14:textId="77777777" w:rsidR="006041CA" w:rsidRDefault="001271CC">
            <w:pPr>
              <w:spacing w:after="120" w:line="360" w:lineRule="auto"/>
              <w:jc w:val="both"/>
              <w:rPr>
                <w:color w:val="000000"/>
              </w:rPr>
            </w:pPr>
            <w:r>
              <w:rPr>
                <w:color w:val="000000"/>
              </w:rPr>
              <w:t>No se define la temporalidad de la publicación de los medios de verificación de los indicadores a nivel de Componente del Programa presupuestario.</w:t>
            </w:r>
          </w:p>
        </w:tc>
      </w:tr>
      <w:tr w:rsidR="006041CA" w14:paraId="502334B8" w14:textId="77777777">
        <w:trPr>
          <w:trHeight w:val="540"/>
        </w:trPr>
        <w:tc>
          <w:tcPr>
            <w:tcW w:w="259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83BB070" w14:textId="77777777" w:rsidR="006041CA" w:rsidRDefault="001271CC">
            <w:pPr>
              <w:spacing w:after="120" w:line="360" w:lineRule="auto"/>
              <w:rPr>
                <w:b/>
                <w:color w:val="000000"/>
              </w:rPr>
            </w:pPr>
            <w:r>
              <w:rPr>
                <w:b/>
                <w:color w:val="000000"/>
              </w:rPr>
              <w:t>Principales recomendaciones (la más relevante por tema)</w:t>
            </w:r>
          </w:p>
        </w:tc>
        <w:tc>
          <w:tcPr>
            <w:tcW w:w="7372" w:type="dxa"/>
            <w:tcBorders>
              <w:top w:val="nil"/>
              <w:left w:val="nil"/>
              <w:bottom w:val="single" w:sz="8" w:space="0" w:color="000000"/>
              <w:right w:val="single" w:sz="8" w:space="0" w:color="000000"/>
            </w:tcBorders>
            <w:shd w:val="clear" w:color="auto" w:fill="auto"/>
            <w:vAlign w:val="center"/>
          </w:tcPr>
          <w:p w14:paraId="14EC8125" w14:textId="77777777" w:rsidR="006041CA" w:rsidRDefault="001271CC">
            <w:pPr>
              <w:spacing w:after="120" w:line="360" w:lineRule="auto"/>
              <w:jc w:val="both"/>
              <w:rPr>
                <w:color w:val="000000"/>
              </w:rPr>
            </w:pPr>
            <w:r>
              <w:rPr>
                <w:color w:val="000000"/>
              </w:rPr>
              <w:t>Tema I. Revisar la definición de los Medios de Verificación y Fuentes de Información de la MIR del Pp, así como su temporalidad del reporte de dicha información.</w:t>
            </w:r>
          </w:p>
        </w:tc>
      </w:tr>
      <w:tr w:rsidR="006041CA" w14:paraId="1F09124F" w14:textId="77777777">
        <w:trPr>
          <w:trHeight w:val="315"/>
        </w:trPr>
        <w:tc>
          <w:tcPr>
            <w:tcW w:w="259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1AA4D3C" w14:textId="77777777" w:rsidR="006041CA" w:rsidRDefault="006041CA">
            <w:pPr>
              <w:widowControl w:val="0"/>
              <w:pBdr>
                <w:top w:val="nil"/>
                <w:left w:val="nil"/>
                <w:bottom w:val="nil"/>
                <w:right w:val="nil"/>
                <w:between w:val="nil"/>
              </w:pBdr>
              <w:spacing w:after="0" w:line="276" w:lineRule="auto"/>
              <w:rPr>
                <w:color w:val="000000"/>
              </w:rPr>
            </w:pPr>
          </w:p>
        </w:tc>
        <w:tc>
          <w:tcPr>
            <w:tcW w:w="7372" w:type="dxa"/>
            <w:tcBorders>
              <w:top w:val="nil"/>
              <w:left w:val="nil"/>
              <w:bottom w:val="single" w:sz="8" w:space="0" w:color="000000"/>
              <w:right w:val="single" w:sz="8" w:space="0" w:color="000000"/>
            </w:tcBorders>
            <w:shd w:val="clear" w:color="auto" w:fill="auto"/>
            <w:vAlign w:val="center"/>
          </w:tcPr>
          <w:p w14:paraId="2D61E132" w14:textId="77777777" w:rsidR="006041CA" w:rsidRDefault="001271CC">
            <w:pPr>
              <w:spacing w:after="120" w:line="360" w:lineRule="auto"/>
              <w:jc w:val="both"/>
              <w:rPr>
                <w:color w:val="000000"/>
              </w:rPr>
            </w:pPr>
            <w:r>
              <w:rPr>
                <w:color w:val="000000"/>
              </w:rPr>
              <w:t>Tema II. Definir un indicador que mida la dimensión de Eficacia y Calidad a nivel de Componente.</w:t>
            </w:r>
          </w:p>
        </w:tc>
      </w:tr>
    </w:tbl>
    <w:p w14:paraId="3A101DB1" w14:textId="77777777" w:rsidR="006041CA" w:rsidRDefault="006041CA">
      <w:pPr>
        <w:pStyle w:val="Ttulo1"/>
        <w:spacing w:before="0" w:after="120" w:line="360" w:lineRule="auto"/>
        <w:rPr>
          <w:rFonts w:ascii="Calibri" w:eastAsia="Calibri" w:hAnsi="Calibri" w:cs="Calibri"/>
        </w:rPr>
      </w:pPr>
    </w:p>
    <w:p w14:paraId="174FE399"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6EDB2551"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6833923A" w14:textId="77777777" w:rsidR="006041CA" w:rsidRDefault="006041CA">
      <w:pPr>
        <w:spacing w:after="120" w:line="360" w:lineRule="auto"/>
        <w:rPr>
          <w:b/>
          <w:color w:val="000000"/>
          <w:sz w:val="52"/>
          <w:szCs w:val="52"/>
        </w:rPr>
      </w:pPr>
    </w:p>
    <w:p w14:paraId="1D7DBA60"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7B63BFA6" w14:textId="77777777" w:rsidR="006041CA" w:rsidRDefault="006041CA">
      <w:pPr>
        <w:spacing w:after="120" w:line="360" w:lineRule="auto"/>
      </w:pPr>
    </w:p>
    <w:p w14:paraId="3CBC4E26" w14:textId="77777777" w:rsidR="006041CA" w:rsidRDefault="006041CA">
      <w:pPr>
        <w:spacing w:after="120" w:line="360" w:lineRule="auto"/>
      </w:pPr>
    </w:p>
    <w:p w14:paraId="1F0ED19D" w14:textId="77777777" w:rsidR="006041CA" w:rsidRDefault="006041CA">
      <w:pPr>
        <w:spacing w:after="120" w:line="360" w:lineRule="auto"/>
      </w:pPr>
    </w:p>
    <w:p w14:paraId="168C244B" w14:textId="77777777" w:rsidR="006041CA" w:rsidRDefault="006041CA">
      <w:pPr>
        <w:spacing w:after="120" w:line="360" w:lineRule="auto"/>
      </w:pPr>
    </w:p>
    <w:p w14:paraId="195903D3" w14:textId="77777777" w:rsidR="006041CA" w:rsidRDefault="006041CA">
      <w:pPr>
        <w:spacing w:after="120" w:line="360" w:lineRule="auto"/>
      </w:pPr>
    </w:p>
    <w:p w14:paraId="06F4806F" w14:textId="77777777" w:rsidR="006041CA" w:rsidRDefault="006041CA">
      <w:pPr>
        <w:spacing w:after="120" w:line="360" w:lineRule="auto"/>
      </w:pPr>
    </w:p>
    <w:p w14:paraId="6CEFE070" w14:textId="77777777" w:rsidR="006041CA" w:rsidRDefault="006041CA">
      <w:pPr>
        <w:spacing w:after="120" w:line="360" w:lineRule="auto"/>
      </w:pPr>
    </w:p>
    <w:p w14:paraId="498218C8" w14:textId="77777777" w:rsidR="006041CA" w:rsidRDefault="006041CA">
      <w:pPr>
        <w:spacing w:after="120" w:line="360" w:lineRule="auto"/>
      </w:pPr>
    </w:p>
    <w:p w14:paraId="1EFD804F" w14:textId="77777777" w:rsidR="006041CA" w:rsidRDefault="006041CA">
      <w:pPr>
        <w:spacing w:after="120" w:line="360" w:lineRule="auto"/>
      </w:pPr>
    </w:p>
    <w:p w14:paraId="7E300D65" w14:textId="77777777" w:rsidR="006041CA" w:rsidRDefault="006041CA">
      <w:pPr>
        <w:spacing w:after="120" w:line="360" w:lineRule="auto"/>
      </w:pPr>
    </w:p>
    <w:p w14:paraId="147ECC76" w14:textId="77777777" w:rsidR="006041CA" w:rsidRDefault="001271CC">
      <w:pPr>
        <w:pStyle w:val="Ttulo1"/>
        <w:spacing w:before="0" w:after="120" w:line="360" w:lineRule="auto"/>
        <w:jc w:val="center"/>
        <w:rPr>
          <w:rFonts w:ascii="Calibri" w:eastAsia="Calibri" w:hAnsi="Calibri" w:cs="Calibri"/>
          <w:b/>
          <w:color w:val="660033"/>
          <w:sz w:val="52"/>
          <w:szCs w:val="52"/>
        </w:rPr>
      </w:pPr>
      <w:bookmarkStart w:id="11" w:name="_heading=h.17dp8vu" w:colFirst="0" w:colLast="0"/>
      <w:bookmarkEnd w:id="11"/>
      <w:r>
        <w:rPr>
          <w:rFonts w:ascii="Calibri" w:eastAsia="Calibri" w:hAnsi="Calibri" w:cs="Calibri"/>
          <w:b/>
          <w:color w:val="660033"/>
          <w:sz w:val="52"/>
          <w:szCs w:val="52"/>
        </w:rPr>
        <w:t>Anexo 5. Formatos</w:t>
      </w:r>
    </w:p>
    <w:p w14:paraId="5F768C94" w14:textId="77777777" w:rsidR="006041CA" w:rsidRDefault="001271CC">
      <w:pPr>
        <w:spacing w:after="120" w:line="360" w:lineRule="auto"/>
        <w:rPr>
          <w:color w:val="660033"/>
        </w:rPr>
      </w:pPr>
      <w:r>
        <w:br w:type="page"/>
      </w:r>
    </w:p>
    <w:p w14:paraId="61FBEF11" w14:textId="77777777" w:rsidR="006041CA" w:rsidRDefault="001271CC">
      <w:pPr>
        <w:spacing w:after="120" w:line="360" w:lineRule="auto"/>
        <w:rPr>
          <w:b/>
          <w:color w:val="FF0000"/>
          <w:sz w:val="52"/>
          <w:szCs w:val="52"/>
        </w:rPr>
      </w:pPr>
      <w:r>
        <w:rPr>
          <w:b/>
          <w:color w:val="FF0000"/>
        </w:rPr>
        <w:t>Los formatos están en archivo Excel, se colocan al momento del diseño de la evaluación.</w:t>
      </w:r>
    </w:p>
    <w:p w14:paraId="190F4F32" w14:textId="77777777" w:rsidR="006041CA" w:rsidRDefault="006041CA">
      <w:pPr>
        <w:pStyle w:val="Ttulo1"/>
        <w:spacing w:before="0" w:after="120" w:line="360" w:lineRule="auto"/>
        <w:jc w:val="center"/>
        <w:rPr>
          <w:rFonts w:ascii="Calibri" w:eastAsia="Calibri" w:hAnsi="Calibri" w:cs="Calibri"/>
          <w:b/>
          <w:color w:val="000000"/>
          <w:sz w:val="52"/>
          <w:szCs w:val="52"/>
        </w:rPr>
      </w:pPr>
    </w:p>
    <w:p w14:paraId="7B5DF9D7" w14:textId="77777777" w:rsidR="006041CA" w:rsidRDefault="001271CC">
      <w:pPr>
        <w:spacing w:after="120" w:line="360" w:lineRule="auto"/>
        <w:rPr>
          <w:b/>
          <w:color w:val="660033"/>
          <w:sz w:val="52"/>
          <w:szCs w:val="52"/>
        </w:rPr>
      </w:pPr>
      <w:r>
        <w:br w:type="page"/>
      </w:r>
    </w:p>
    <w:p w14:paraId="5F46B4A6" w14:textId="77777777" w:rsidR="006041CA" w:rsidRDefault="006041CA">
      <w:pPr>
        <w:pStyle w:val="Ttulo1"/>
        <w:spacing w:before="0" w:after="120" w:line="360" w:lineRule="auto"/>
        <w:jc w:val="center"/>
        <w:rPr>
          <w:rFonts w:ascii="Calibri" w:eastAsia="Calibri" w:hAnsi="Calibri" w:cs="Calibri"/>
          <w:b/>
          <w:color w:val="660033"/>
          <w:sz w:val="52"/>
          <w:szCs w:val="52"/>
        </w:rPr>
      </w:pPr>
    </w:p>
    <w:p w14:paraId="368D34C6" w14:textId="77777777" w:rsidR="006041CA" w:rsidRDefault="006041CA">
      <w:pPr>
        <w:pStyle w:val="Ttulo1"/>
        <w:spacing w:before="0" w:after="120" w:line="360" w:lineRule="auto"/>
        <w:jc w:val="center"/>
        <w:rPr>
          <w:rFonts w:ascii="Calibri" w:eastAsia="Calibri" w:hAnsi="Calibri" w:cs="Calibri"/>
          <w:b/>
          <w:color w:val="660033"/>
          <w:sz w:val="52"/>
          <w:szCs w:val="52"/>
        </w:rPr>
      </w:pPr>
    </w:p>
    <w:p w14:paraId="622E5C0E" w14:textId="77777777" w:rsidR="006041CA" w:rsidRDefault="006041CA">
      <w:pPr>
        <w:pStyle w:val="Ttulo1"/>
        <w:spacing w:before="0" w:after="120" w:line="360" w:lineRule="auto"/>
        <w:jc w:val="center"/>
        <w:rPr>
          <w:rFonts w:ascii="Calibri" w:eastAsia="Calibri" w:hAnsi="Calibri" w:cs="Calibri"/>
          <w:b/>
          <w:color w:val="660033"/>
          <w:sz w:val="52"/>
          <w:szCs w:val="52"/>
        </w:rPr>
      </w:pPr>
    </w:p>
    <w:p w14:paraId="278E73E8" w14:textId="77777777" w:rsidR="006041CA" w:rsidRDefault="006041CA">
      <w:pPr>
        <w:spacing w:after="120" w:line="360" w:lineRule="auto"/>
      </w:pPr>
    </w:p>
    <w:p w14:paraId="1F015790" w14:textId="77777777" w:rsidR="006041CA" w:rsidRDefault="006041CA">
      <w:pPr>
        <w:spacing w:after="120" w:line="360" w:lineRule="auto"/>
      </w:pPr>
    </w:p>
    <w:p w14:paraId="1188DF58" w14:textId="77777777" w:rsidR="006041CA" w:rsidRDefault="006041CA">
      <w:pPr>
        <w:pStyle w:val="Ttulo1"/>
        <w:spacing w:before="0" w:after="120" w:line="360" w:lineRule="auto"/>
        <w:jc w:val="center"/>
        <w:rPr>
          <w:rFonts w:ascii="Calibri" w:eastAsia="Calibri" w:hAnsi="Calibri" w:cs="Calibri"/>
          <w:b/>
          <w:color w:val="660033"/>
          <w:sz w:val="52"/>
          <w:szCs w:val="52"/>
        </w:rPr>
      </w:pPr>
    </w:p>
    <w:p w14:paraId="4AECF701" w14:textId="77777777" w:rsidR="006041CA" w:rsidRDefault="001271CC">
      <w:pPr>
        <w:pStyle w:val="Ttulo1"/>
        <w:spacing w:before="0" w:after="120" w:line="360" w:lineRule="auto"/>
        <w:jc w:val="center"/>
        <w:rPr>
          <w:rFonts w:ascii="Calibri" w:eastAsia="Calibri" w:hAnsi="Calibri" w:cs="Calibri"/>
          <w:b/>
          <w:color w:val="660033"/>
          <w:sz w:val="52"/>
          <w:szCs w:val="52"/>
        </w:rPr>
      </w:pPr>
      <w:bookmarkStart w:id="12" w:name="_heading=h.3rdcrjn" w:colFirst="0" w:colLast="0"/>
      <w:bookmarkEnd w:id="12"/>
      <w:r>
        <w:rPr>
          <w:rFonts w:ascii="Calibri" w:eastAsia="Calibri" w:hAnsi="Calibri" w:cs="Calibri"/>
          <w:b/>
          <w:color w:val="660033"/>
          <w:sz w:val="52"/>
          <w:szCs w:val="52"/>
        </w:rPr>
        <w:t>Anexo 6. Fuentes de Información</w:t>
      </w:r>
    </w:p>
    <w:p w14:paraId="7FCCB880" w14:textId="77777777" w:rsidR="006041CA" w:rsidRDefault="001271CC">
      <w:pPr>
        <w:spacing w:after="120" w:line="360" w:lineRule="auto"/>
      </w:pPr>
      <w:r>
        <w:br w:type="page"/>
      </w:r>
    </w:p>
    <w:tbl>
      <w:tblPr>
        <w:tblStyle w:val="a9"/>
        <w:tblW w:w="9962" w:type="dxa"/>
        <w:tblInd w:w="-10" w:type="dxa"/>
        <w:tblLayout w:type="fixed"/>
        <w:tblLook w:val="0400" w:firstRow="0" w:lastRow="0" w:firstColumn="0" w:lastColumn="0" w:noHBand="0" w:noVBand="1"/>
      </w:tblPr>
      <w:tblGrid>
        <w:gridCol w:w="993"/>
        <w:gridCol w:w="8969"/>
      </w:tblGrid>
      <w:tr w:rsidR="006041CA" w14:paraId="01AE08CB"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6C0C4C"/>
            <w:vAlign w:val="center"/>
          </w:tcPr>
          <w:p w14:paraId="6BCF1037" w14:textId="77777777" w:rsidR="006041CA" w:rsidRDefault="001271CC">
            <w:pPr>
              <w:spacing w:after="120" w:line="360" w:lineRule="auto"/>
              <w:jc w:val="center"/>
              <w:rPr>
                <w:b/>
                <w:color w:val="FFFFFF"/>
              </w:rPr>
            </w:pPr>
            <w:r>
              <w:rPr>
                <w:b/>
                <w:color w:val="FFFFFF"/>
              </w:rPr>
              <w:t>Documentos</w:t>
            </w:r>
          </w:p>
        </w:tc>
      </w:tr>
      <w:tr w:rsidR="006041CA" w14:paraId="3F352CCE" w14:textId="77777777">
        <w:trPr>
          <w:trHeight w:val="315"/>
        </w:trPr>
        <w:tc>
          <w:tcPr>
            <w:tcW w:w="993" w:type="dxa"/>
            <w:tcBorders>
              <w:top w:val="nil"/>
              <w:left w:val="single" w:sz="8" w:space="0" w:color="000000"/>
              <w:bottom w:val="single" w:sz="8" w:space="0" w:color="000000"/>
              <w:right w:val="single" w:sz="8" w:space="0" w:color="000000"/>
            </w:tcBorders>
            <w:shd w:val="clear" w:color="auto" w:fill="6C0C4C"/>
            <w:vAlign w:val="center"/>
          </w:tcPr>
          <w:p w14:paraId="0C93FC23" w14:textId="77777777" w:rsidR="006041CA" w:rsidRDefault="001271CC">
            <w:pPr>
              <w:spacing w:after="120" w:line="360" w:lineRule="auto"/>
              <w:jc w:val="center"/>
              <w:rPr>
                <w:b/>
                <w:color w:val="FFFFFF"/>
              </w:rPr>
            </w:pPr>
            <w:r>
              <w:rPr>
                <w:b/>
                <w:color w:val="FFFFFF"/>
              </w:rPr>
              <w:t>No.</w:t>
            </w:r>
          </w:p>
        </w:tc>
        <w:tc>
          <w:tcPr>
            <w:tcW w:w="8969" w:type="dxa"/>
            <w:tcBorders>
              <w:top w:val="nil"/>
              <w:left w:val="nil"/>
              <w:bottom w:val="single" w:sz="8" w:space="0" w:color="000000"/>
              <w:right w:val="single" w:sz="8" w:space="0" w:color="000000"/>
            </w:tcBorders>
            <w:shd w:val="clear" w:color="auto" w:fill="6C0C4C"/>
            <w:vAlign w:val="center"/>
          </w:tcPr>
          <w:p w14:paraId="243C7A86" w14:textId="77777777" w:rsidR="006041CA" w:rsidRDefault="001271CC">
            <w:pPr>
              <w:spacing w:after="120" w:line="360" w:lineRule="auto"/>
              <w:jc w:val="center"/>
              <w:rPr>
                <w:b/>
                <w:color w:val="FFFFFF"/>
              </w:rPr>
            </w:pPr>
            <w:r>
              <w:rPr>
                <w:b/>
                <w:color w:val="FFFFFF"/>
              </w:rPr>
              <w:t>Nombre</w:t>
            </w:r>
          </w:p>
        </w:tc>
      </w:tr>
      <w:tr w:rsidR="006041CA" w14:paraId="7035D425" w14:textId="77777777">
        <w:trPr>
          <w:trHeight w:val="615"/>
        </w:trPr>
        <w:tc>
          <w:tcPr>
            <w:tcW w:w="993" w:type="dxa"/>
            <w:tcBorders>
              <w:top w:val="nil"/>
              <w:left w:val="single" w:sz="8" w:space="0" w:color="000000"/>
              <w:bottom w:val="single" w:sz="8" w:space="0" w:color="000000"/>
              <w:right w:val="single" w:sz="8" w:space="0" w:color="000000"/>
            </w:tcBorders>
            <w:shd w:val="clear" w:color="auto" w:fill="FFC4D4"/>
            <w:vAlign w:val="center"/>
          </w:tcPr>
          <w:p w14:paraId="7604A606" w14:textId="77777777" w:rsidR="006041CA" w:rsidRDefault="001271CC">
            <w:pPr>
              <w:spacing w:after="120" w:line="360" w:lineRule="auto"/>
              <w:jc w:val="center"/>
              <w:rPr>
                <w:color w:val="000000"/>
              </w:rPr>
            </w:pPr>
            <w:r>
              <w:rPr>
                <w:color w:val="000000"/>
              </w:rPr>
              <w:t>1</w:t>
            </w:r>
          </w:p>
        </w:tc>
        <w:tc>
          <w:tcPr>
            <w:tcW w:w="8969" w:type="dxa"/>
            <w:tcBorders>
              <w:top w:val="nil"/>
              <w:left w:val="nil"/>
              <w:bottom w:val="single" w:sz="8" w:space="0" w:color="000000"/>
              <w:right w:val="single" w:sz="8" w:space="0" w:color="000000"/>
            </w:tcBorders>
            <w:shd w:val="clear" w:color="auto" w:fill="auto"/>
            <w:vAlign w:val="center"/>
          </w:tcPr>
          <w:p w14:paraId="2B622BC4" w14:textId="77777777" w:rsidR="006041CA" w:rsidRDefault="001271CC">
            <w:pPr>
              <w:spacing w:after="120" w:line="360" w:lineRule="auto"/>
              <w:rPr>
                <w:color w:val="000000"/>
              </w:rPr>
            </w:pPr>
            <w:r>
              <w:rPr>
                <w:color w:val="000000"/>
              </w:rPr>
              <w:t>MIR del Programa presupuestario AE01 Educación Básica ejercicio fiscal 2023, Planeación Anual.</w:t>
            </w:r>
          </w:p>
        </w:tc>
      </w:tr>
      <w:tr w:rsidR="006041CA" w14:paraId="01998104" w14:textId="77777777">
        <w:trPr>
          <w:trHeight w:val="315"/>
        </w:trPr>
        <w:tc>
          <w:tcPr>
            <w:tcW w:w="993" w:type="dxa"/>
            <w:tcBorders>
              <w:top w:val="nil"/>
              <w:left w:val="single" w:sz="8" w:space="0" w:color="000000"/>
              <w:bottom w:val="single" w:sz="8" w:space="0" w:color="000000"/>
              <w:right w:val="single" w:sz="8" w:space="0" w:color="000000"/>
            </w:tcBorders>
            <w:shd w:val="clear" w:color="auto" w:fill="FFC4D4"/>
            <w:vAlign w:val="center"/>
          </w:tcPr>
          <w:p w14:paraId="5C187664" w14:textId="77777777" w:rsidR="006041CA" w:rsidRDefault="001271CC">
            <w:pPr>
              <w:spacing w:after="120" w:line="360" w:lineRule="auto"/>
              <w:jc w:val="center"/>
              <w:rPr>
                <w:color w:val="000000"/>
              </w:rPr>
            </w:pPr>
            <w:r>
              <w:rPr>
                <w:color w:val="000000"/>
              </w:rPr>
              <w:t>2</w:t>
            </w:r>
          </w:p>
        </w:tc>
        <w:tc>
          <w:tcPr>
            <w:tcW w:w="8969" w:type="dxa"/>
            <w:tcBorders>
              <w:top w:val="nil"/>
              <w:left w:val="nil"/>
              <w:bottom w:val="single" w:sz="8" w:space="0" w:color="000000"/>
              <w:right w:val="single" w:sz="8" w:space="0" w:color="000000"/>
            </w:tcBorders>
            <w:shd w:val="clear" w:color="auto" w:fill="auto"/>
            <w:vAlign w:val="center"/>
          </w:tcPr>
          <w:p w14:paraId="3182CA59" w14:textId="77777777" w:rsidR="006041CA" w:rsidRDefault="001271CC">
            <w:pPr>
              <w:spacing w:after="120" w:line="360" w:lineRule="auto"/>
              <w:rPr>
                <w:color w:val="000000"/>
              </w:rPr>
            </w:pPr>
            <w:r>
              <w:rPr>
                <w:color w:val="000000"/>
              </w:rPr>
              <w:t>Estrategia de Cobertura Documento institucional.</w:t>
            </w:r>
          </w:p>
        </w:tc>
      </w:tr>
      <w:tr w:rsidR="006041CA" w14:paraId="6F5FC390" w14:textId="77777777">
        <w:trPr>
          <w:trHeight w:val="315"/>
        </w:trPr>
        <w:tc>
          <w:tcPr>
            <w:tcW w:w="993" w:type="dxa"/>
            <w:tcBorders>
              <w:top w:val="nil"/>
              <w:left w:val="single" w:sz="8" w:space="0" w:color="000000"/>
              <w:bottom w:val="single" w:sz="8" w:space="0" w:color="000000"/>
              <w:right w:val="single" w:sz="8" w:space="0" w:color="000000"/>
            </w:tcBorders>
            <w:shd w:val="clear" w:color="auto" w:fill="FFC4D4"/>
            <w:vAlign w:val="center"/>
          </w:tcPr>
          <w:p w14:paraId="78F73145" w14:textId="77777777" w:rsidR="006041CA" w:rsidRDefault="001271CC">
            <w:pPr>
              <w:spacing w:after="120" w:line="360" w:lineRule="auto"/>
              <w:jc w:val="center"/>
              <w:rPr>
                <w:color w:val="000000"/>
              </w:rPr>
            </w:pPr>
            <w:r>
              <w:rPr>
                <w:color w:val="000000"/>
              </w:rPr>
              <w:t>3</w:t>
            </w:r>
          </w:p>
        </w:tc>
        <w:tc>
          <w:tcPr>
            <w:tcW w:w="8969" w:type="dxa"/>
            <w:tcBorders>
              <w:top w:val="nil"/>
              <w:left w:val="nil"/>
              <w:bottom w:val="single" w:sz="8" w:space="0" w:color="000000"/>
              <w:right w:val="single" w:sz="8" w:space="0" w:color="000000"/>
            </w:tcBorders>
            <w:shd w:val="clear" w:color="auto" w:fill="auto"/>
            <w:vAlign w:val="center"/>
          </w:tcPr>
          <w:p w14:paraId="3E2A1476" w14:textId="77777777" w:rsidR="006041CA" w:rsidRDefault="001271CC">
            <w:pPr>
              <w:spacing w:after="120" w:line="360" w:lineRule="auto"/>
              <w:rPr>
                <w:color w:val="000000"/>
              </w:rPr>
            </w:pPr>
            <w:r>
              <w:rPr>
                <w:color w:val="000000"/>
              </w:rPr>
              <w:t>Ley de Coordinación Fiscal.</w:t>
            </w:r>
          </w:p>
        </w:tc>
      </w:tr>
      <w:tr w:rsidR="006041CA" w14:paraId="7DCA6A65" w14:textId="77777777">
        <w:trPr>
          <w:trHeight w:val="315"/>
        </w:trPr>
        <w:tc>
          <w:tcPr>
            <w:tcW w:w="993" w:type="dxa"/>
            <w:tcBorders>
              <w:top w:val="nil"/>
              <w:left w:val="single" w:sz="8" w:space="0" w:color="000000"/>
              <w:bottom w:val="single" w:sz="8" w:space="0" w:color="000000"/>
              <w:right w:val="single" w:sz="8" w:space="0" w:color="000000"/>
            </w:tcBorders>
            <w:shd w:val="clear" w:color="auto" w:fill="FFC4D4"/>
            <w:vAlign w:val="center"/>
          </w:tcPr>
          <w:p w14:paraId="47DE5D34" w14:textId="77777777" w:rsidR="006041CA" w:rsidRDefault="001271CC">
            <w:pPr>
              <w:spacing w:after="120" w:line="360" w:lineRule="auto"/>
              <w:jc w:val="center"/>
              <w:rPr>
                <w:color w:val="000000"/>
              </w:rPr>
            </w:pPr>
            <w:r>
              <w:rPr>
                <w:color w:val="000000"/>
              </w:rPr>
              <w:t>4</w:t>
            </w:r>
          </w:p>
        </w:tc>
        <w:tc>
          <w:tcPr>
            <w:tcW w:w="8969" w:type="dxa"/>
            <w:tcBorders>
              <w:top w:val="nil"/>
              <w:left w:val="nil"/>
              <w:bottom w:val="single" w:sz="8" w:space="0" w:color="000000"/>
              <w:right w:val="single" w:sz="8" w:space="0" w:color="000000"/>
            </w:tcBorders>
            <w:shd w:val="clear" w:color="auto" w:fill="auto"/>
            <w:vAlign w:val="center"/>
          </w:tcPr>
          <w:p w14:paraId="38AA7154" w14:textId="77777777" w:rsidR="006041CA" w:rsidRDefault="001271CC">
            <w:pPr>
              <w:spacing w:after="120" w:line="360" w:lineRule="auto"/>
              <w:rPr>
                <w:color w:val="000000"/>
              </w:rPr>
            </w:pPr>
            <w:r>
              <w:rPr>
                <w:color w:val="000000"/>
              </w:rPr>
              <w:t>Ley de Planeación del Estado de Michoacán de Ocampo.</w:t>
            </w:r>
          </w:p>
        </w:tc>
      </w:tr>
      <w:tr w:rsidR="006041CA" w14:paraId="50A962F3" w14:textId="77777777">
        <w:trPr>
          <w:trHeight w:val="315"/>
        </w:trPr>
        <w:tc>
          <w:tcPr>
            <w:tcW w:w="993" w:type="dxa"/>
            <w:tcBorders>
              <w:top w:val="nil"/>
              <w:left w:val="single" w:sz="8" w:space="0" w:color="000000"/>
              <w:bottom w:val="single" w:sz="8" w:space="0" w:color="000000"/>
              <w:right w:val="single" w:sz="8" w:space="0" w:color="000000"/>
            </w:tcBorders>
            <w:shd w:val="clear" w:color="auto" w:fill="FFC4D4"/>
            <w:vAlign w:val="center"/>
          </w:tcPr>
          <w:p w14:paraId="59609E73" w14:textId="77777777" w:rsidR="006041CA" w:rsidRDefault="001271CC">
            <w:pPr>
              <w:spacing w:after="120" w:line="360" w:lineRule="auto"/>
              <w:jc w:val="center"/>
              <w:rPr>
                <w:color w:val="000000"/>
              </w:rPr>
            </w:pPr>
            <w:r>
              <w:rPr>
                <w:color w:val="000000"/>
              </w:rPr>
              <w:t>5</w:t>
            </w:r>
          </w:p>
        </w:tc>
        <w:tc>
          <w:tcPr>
            <w:tcW w:w="8969" w:type="dxa"/>
            <w:tcBorders>
              <w:top w:val="nil"/>
              <w:left w:val="nil"/>
              <w:bottom w:val="single" w:sz="8" w:space="0" w:color="000000"/>
              <w:right w:val="single" w:sz="8" w:space="0" w:color="000000"/>
            </w:tcBorders>
            <w:shd w:val="clear" w:color="auto" w:fill="auto"/>
            <w:vAlign w:val="center"/>
          </w:tcPr>
          <w:p w14:paraId="6AAB820F" w14:textId="77777777" w:rsidR="006041CA" w:rsidRDefault="001271CC">
            <w:pPr>
              <w:spacing w:after="120" w:line="360" w:lineRule="auto"/>
              <w:rPr>
                <w:color w:val="000000"/>
              </w:rPr>
            </w:pPr>
            <w:r>
              <w:rPr>
                <w:color w:val="000000"/>
              </w:rPr>
              <w:t>Plan de Desarrollo Integral del Estado de Michoacán 2021-2027.</w:t>
            </w:r>
          </w:p>
        </w:tc>
      </w:tr>
      <w:tr w:rsidR="006041CA" w14:paraId="01D9266E" w14:textId="77777777">
        <w:trPr>
          <w:trHeight w:val="615"/>
        </w:trPr>
        <w:tc>
          <w:tcPr>
            <w:tcW w:w="993" w:type="dxa"/>
            <w:tcBorders>
              <w:top w:val="nil"/>
              <w:left w:val="single" w:sz="8" w:space="0" w:color="000000"/>
              <w:bottom w:val="single" w:sz="8" w:space="0" w:color="000000"/>
              <w:right w:val="single" w:sz="8" w:space="0" w:color="000000"/>
            </w:tcBorders>
            <w:shd w:val="clear" w:color="auto" w:fill="FFC4D4"/>
            <w:vAlign w:val="center"/>
          </w:tcPr>
          <w:p w14:paraId="0D45D487" w14:textId="77777777" w:rsidR="006041CA" w:rsidRDefault="001271CC">
            <w:pPr>
              <w:spacing w:after="120" w:line="360" w:lineRule="auto"/>
              <w:jc w:val="center"/>
              <w:rPr>
                <w:color w:val="000000"/>
              </w:rPr>
            </w:pPr>
            <w:r>
              <w:rPr>
                <w:color w:val="000000"/>
              </w:rPr>
              <w:t>6</w:t>
            </w:r>
          </w:p>
        </w:tc>
        <w:tc>
          <w:tcPr>
            <w:tcW w:w="8969" w:type="dxa"/>
            <w:tcBorders>
              <w:top w:val="nil"/>
              <w:left w:val="nil"/>
              <w:bottom w:val="single" w:sz="8" w:space="0" w:color="000000"/>
              <w:right w:val="single" w:sz="8" w:space="0" w:color="000000"/>
            </w:tcBorders>
            <w:shd w:val="clear" w:color="auto" w:fill="auto"/>
            <w:vAlign w:val="center"/>
          </w:tcPr>
          <w:p w14:paraId="4AF70720" w14:textId="77777777" w:rsidR="006041CA" w:rsidRDefault="001271CC">
            <w:pPr>
              <w:spacing w:after="120" w:line="360" w:lineRule="auto"/>
              <w:rPr>
                <w:color w:val="000000"/>
              </w:rPr>
            </w:pPr>
            <w:r>
              <w:rPr>
                <w:color w:val="000000"/>
              </w:rPr>
              <w:t>Lineamientos del Gasto de Operación del Fondo de Aportaciones para la Nómina Educativa y Gasto Operativo.</w:t>
            </w:r>
          </w:p>
        </w:tc>
      </w:tr>
      <w:tr w:rsidR="006041CA" w14:paraId="596B41C0" w14:textId="77777777">
        <w:trPr>
          <w:trHeight w:val="315"/>
        </w:trPr>
        <w:tc>
          <w:tcPr>
            <w:tcW w:w="993" w:type="dxa"/>
            <w:tcBorders>
              <w:top w:val="nil"/>
              <w:left w:val="single" w:sz="8" w:space="0" w:color="000000"/>
              <w:bottom w:val="single" w:sz="8" w:space="0" w:color="000000"/>
              <w:right w:val="single" w:sz="8" w:space="0" w:color="000000"/>
            </w:tcBorders>
            <w:shd w:val="clear" w:color="auto" w:fill="FFC4D4"/>
            <w:vAlign w:val="center"/>
          </w:tcPr>
          <w:p w14:paraId="02A3E83C" w14:textId="77777777" w:rsidR="006041CA" w:rsidRDefault="001271CC">
            <w:pPr>
              <w:spacing w:after="120" w:line="360" w:lineRule="auto"/>
              <w:jc w:val="center"/>
              <w:rPr>
                <w:color w:val="000000"/>
              </w:rPr>
            </w:pPr>
            <w:r>
              <w:rPr>
                <w:color w:val="000000"/>
              </w:rPr>
              <w:t>7</w:t>
            </w:r>
          </w:p>
        </w:tc>
        <w:tc>
          <w:tcPr>
            <w:tcW w:w="8969" w:type="dxa"/>
            <w:tcBorders>
              <w:top w:val="nil"/>
              <w:left w:val="nil"/>
              <w:bottom w:val="single" w:sz="8" w:space="0" w:color="000000"/>
              <w:right w:val="single" w:sz="8" w:space="0" w:color="000000"/>
            </w:tcBorders>
            <w:shd w:val="clear" w:color="auto" w:fill="auto"/>
            <w:vAlign w:val="center"/>
          </w:tcPr>
          <w:p w14:paraId="651107F5" w14:textId="77777777" w:rsidR="006041CA" w:rsidRDefault="001271CC">
            <w:pPr>
              <w:spacing w:after="120" w:line="360" w:lineRule="auto"/>
              <w:rPr>
                <w:color w:val="000000"/>
              </w:rPr>
            </w:pPr>
            <w:r>
              <w:rPr>
                <w:color w:val="000000"/>
              </w:rPr>
              <w:t>Cuenta Pública 2023.</w:t>
            </w:r>
          </w:p>
        </w:tc>
      </w:tr>
      <w:tr w:rsidR="006041CA" w14:paraId="5E02148D" w14:textId="77777777">
        <w:trPr>
          <w:trHeight w:val="315"/>
        </w:trPr>
        <w:tc>
          <w:tcPr>
            <w:tcW w:w="993" w:type="dxa"/>
            <w:tcBorders>
              <w:top w:val="nil"/>
              <w:left w:val="single" w:sz="8" w:space="0" w:color="000000"/>
              <w:bottom w:val="single" w:sz="8" w:space="0" w:color="000000"/>
              <w:right w:val="single" w:sz="8" w:space="0" w:color="000000"/>
            </w:tcBorders>
            <w:shd w:val="clear" w:color="auto" w:fill="FFC4D4"/>
            <w:vAlign w:val="center"/>
          </w:tcPr>
          <w:p w14:paraId="02C64FB3" w14:textId="77777777" w:rsidR="006041CA" w:rsidRDefault="001271CC">
            <w:pPr>
              <w:spacing w:after="120" w:line="360" w:lineRule="auto"/>
              <w:jc w:val="center"/>
              <w:rPr>
                <w:color w:val="000000"/>
              </w:rPr>
            </w:pPr>
            <w:r>
              <w:rPr>
                <w:color w:val="000000"/>
              </w:rPr>
              <w:t>8</w:t>
            </w:r>
          </w:p>
        </w:tc>
        <w:tc>
          <w:tcPr>
            <w:tcW w:w="8969" w:type="dxa"/>
            <w:tcBorders>
              <w:top w:val="nil"/>
              <w:left w:val="nil"/>
              <w:bottom w:val="single" w:sz="8" w:space="0" w:color="000000"/>
              <w:right w:val="single" w:sz="8" w:space="0" w:color="000000"/>
            </w:tcBorders>
            <w:shd w:val="clear" w:color="auto" w:fill="auto"/>
            <w:vAlign w:val="center"/>
          </w:tcPr>
          <w:p w14:paraId="0CEC3D8D" w14:textId="77777777" w:rsidR="006041CA" w:rsidRDefault="001271CC">
            <w:pPr>
              <w:spacing w:after="120" w:line="360" w:lineRule="auto"/>
              <w:rPr>
                <w:color w:val="000000"/>
              </w:rPr>
            </w:pPr>
            <w:r>
              <w:rPr>
                <w:color w:val="000000"/>
              </w:rPr>
              <w:t>Ley General de Educación.</w:t>
            </w:r>
          </w:p>
        </w:tc>
      </w:tr>
      <w:tr w:rsidR="006041CA" w14:paraId="5786B12F" w14:textId="77777777">
        <w:trPr>
          <w:trHeight w:val="1215"/>
        </w:trPr>
        <w:tc>
          <w:tcPr>
            <w:tcW w:w="993" w:type="dxa"/>
            <w:tcBorders>
              <w:top w:val="nil"/>
              <w:left w:val="single" w:sz="8" w:space="0" w:color="000000"/>
              <w:bottom w:val="single" w:sz="8" w:space="0" w:color="000000"/>
              <w:right w:val="single" w:sz="8" w:space="0" w:color="000000"/>
            </w:tcBorders>
            <w:shd w:val="clear" w:color="auto" w:fill="FFC4D4"/>
            <w:vAlign w:val="center"/>
          </w:tcPr>
          <w:p w14:paraId="10DB5D40" w14:textId="77777777" w:rsidR="006041CA" w:rsidRDefault="001271CC">
            <w:pPr>
              <w:spacing w:after="120" w:line="360" w:lineRule="auto"/>
              <w:jc w:val="center"/>
              <w:rPr>
                <w:color w:val="000000"/>
              </w:rPr>
            </w:pPr>
            <w:r>
              <w:rPr>
                <w:color w:val="000000"/>
              </w:rPr>
              <w:t>9</w:t>
            </w:r>
          </w:p>
        </w:tc>
        <w:tc>
          <w:tcPr>
            <w:tcW w:w="8969" w:type="dxa"/>
            <w:tcBorders>
              <w:top w:val="nil"/>
              <w:left w:val="nil"/>
              <w:bottom w:val="single" w:sz="8" w:space="0" w:color="000000"/>
              <w:right w:val="single" w:sz="8" w:space="0" w:color="000000"/>
            </w:tcBorders>
            <w:shd w:val="clear" w:color="auto" w:fill="auto"/>
            <w:vAlign w:val="center"/>
          </w:tcPr>
          <w:p w14:paraId="4A952A5B" w14:textId="77777777" w:rsidR="006041CA" w:rsidRDefault="001271CC">
            <w:pPr>
              <w:spacing w:after="120" w:line="360" w:lineRule="auto"/>
              <w:rPr>
                <w:color w:val="000000"/>
              </w:rPr>
            </w:pPr>
            <w:r>
              <w:rPr>
                <w:color w:val="000000"/>
              </w:rPr>
              <w:t>Reporte de Evaluación de la Gestión Institucional con Enfoque de Resultados del Programa presupuestario Educación Básica financiado con recursos del FONE correspondiente al ejercicio fiscal 2022.</w:t>
            </w:r>
          </w:p>
        </w:tc>
      </w:tr>
      <w:tr w:rsidR="006041CA" w14:paraId="14F750FD" w14:textId="77777777">
        <w:trPr>
          <w:trHeight w:val="615"/>
        </w:trPr>
        <w:tc>
          <w:tcPr>
            <w:tcW w:w="993" w:type="dxa"/>
            <w:tcBorders>
              <w:top w:val="nil"/>
              <w:left w:val="single" w:sz="8" w:space="0" w:color="000000"/>
              <w:bottom w:val="single" w:sz="8" w:space="0" w:color="000000"/>
              <w:right w:val="single" w:sz="8" w:space="0" w:color="000000"/>
            </w:tcBorders>
            <w:shd w:val="clear" w:color="auto" w:fill="FFC4D4"/>
            <w:vAlign w:val="center"/>
          </w:tcPr>
          <w:p w14:paraId="654846E4" w14:textId="77777777" w:rsidR="006041CA" w:rsidRDefault="001271CC">
            <w:pPr>
              <w:spacing w:after="120" w:line="360" w:lineRule="auto"/>
              <w:jc w:val="center"/>
              <w:rPr>
                <w:color w:val="000000"/>
              </w:rPr>
            </w:pPr>
            <w:r>
              <w:rPr>
                <w:color w:val="000000"/>
              </w:rPr>
              <w:t>10</w:t>
            </w:r>
          </w:p>
        </w:tc>
        <w:tc>
          <w:tcPr>
            <w:tcW w:w="8969" w:type="dxa"/>
            <w:tcBorders>
              <w:top w:val="nil"/>
              <w:left w:val="nil"/>
              <w:bottom w:val="single" w:sz="8" w:space="0" w:color="000000"/>
              <w:right w:val="single" w:sz="8" w:space="0" w:color="000000"/>
            </w:tcBorders>
            <w:shd w:val="clear" w:color="auto" w:fill="auto"/>
            <w:vAlign w:val="center"/>
          </w:tcPr>
          <w:p w14:paraId="20D48B78" w14:textId="77777777" w:rsidR="006041CA" w:rsidRDefault="001271CC">
            <w:pPr>
              <w:spacing w:after="120" w:line="360" w:lineRule="auto"/>
              <w:rPr>
                <w:color w:val="000000"/>
              </w:rPr>
            </w:pPr>
            <w:r>
              <w:rPr>
                <w:color w:val="000000"/>
              </w:rPr>
              <w:t>Documento de Posición Institucional, Tarjeta Informativa, Secretaría de Educación, Subdirección de Presupuesto.</w:t>
            </w:r>
          </w:p>
        </w:tc>
      </w:tr>
      <w:tr w:rsidR="006041CA" w14:paraId="2CBF3084" w14:textId="77777777">
        <w:trPr>
          <w:trHeight w:val="1215"/>
        </w:trPr>
        <w:tc>
          <w:tcPr>
            <w:tcW w:w="993" w:type="dxa"/>
            <w:tcBorders>
              <w:top w:val="nil"/>
              <w:left w:val="single" w:sz="8" w:space="0" w:color="000000"/>
              <w:bottom w:val="single" w:sz="8" w:space="0" w:color="000000"/>
              <w:right w:val="single" w:sz="8" w:space="0" w:color="000000"/>
            </w:tcBorders>
            <w:shd w:val="clear" w:color="auto" w:fill="FFC4D4"/>
            <w:vAlign w:val="center"/>
          </w:tcPr>
          <w:p w14:paraId="6EEABDF1" w14:textId="77777777" w:rsidR="006041CA" w:rsidRDefault="001271CC">
            <w:pPr>
              <w:spacing w:after="120" w:line="360" w:lineRule="auto"/>
              <w:jc w:val="center"/>
              <w:rPr>
                <w:color w:val="000000"/>
              </w:rPr>
            </w:pPr>
            <w:r>
              <w:rPr>
                <w:color w:val="000000"/>
              </w:rPr>
              <w:t>11</w:t>
            </w:r>
          </w:p>
        </w:tc>
        <w:tc>
          <w:tcPr>
            <w:tcW w:w="8969" w:type="dxa"/>
            <w:tcBorders>
              <w:top w:val="nil"/>
              <w:left w:val="nil"/>
              <w:bottom w:val="single" w:sz="8" w:space="0" w:color="000000"/>
              <w:right w:val="single" w:sz="8" w:space="0" w:color="000000"/>
            </w:tcBorders>
            <w:shd w:val="clear" w:color="auto" w:fill="auto"/>
            <w:vAlign w:val="center"/>
          </w:tcPr>
          <w:p w14:paraId="3E85C40E" w14:textId="77777777" w:rsidR="006041CA" w:rsidRDefault="001271CC">
            <w:pPr>
              <w:spacing w:after="120" w:line="360" w:lineRule="auto"/>
              <w:rPr>
                <w:color w:val="000000"/>
              </w:rPr>
            </w:pPr>
            <w:r>
              <w:rPr>
                <w:color w:val="000000"/>
              </w:rPr>
              <w:t>Formato Anexo E Avance del Documento Institucional Seguimiento a Aspectos Susceptibles de Mejora clasificados como institucionales, derivados de informes y evaluaciones, 13 de mayo 2024.</w:t>
            </w:r>
          </w:p>
        </w:tc>
      </w:tr>
    </w:tbl>
    <w:p w14:paraId="3DB51337" w14:textId="77777777" w:rsidR="006041CA" w:rsidRDefault="006041CA">
      <w:pPr>
        <w:spacing w:after="120" w:line="360" w:lineRule="auto"/>
      </w:pPr>
    </w:p>
    <w:p w14:paraId="66AF07F5" w14:textId="77777777" w:rsidR="006041CA" w:rsidRDefault="001271CC">
      <w:pPr>
        <w:spacing w:after="120" w:line="360" w:lineRule="auto"/>
      </w:pPr>
      <w:r>
        <w:br w:type="page"/>
      </w:r>
    </w:p>
    <w:tbl>
      <w:tblPr>
        <w:tblStyle w:val="aa"/>
        <w:tblW w:w="9962" w:type="dxa"/>
        <w:tblInd w:w="-10" w:type="dxa"/>
        <w:tblLayout w:type="fixed"/>
        <w:tblLook w:val="0400" w:firstRow="0" w:lastRow="0" w:firstColumn="0" w:lastColumn="0" w:noHBand="0" w:noVBand="1"/>
      </w:tblPr>
      <w:tblGrid>
        <w:gridCol w:w="567"/>
        <w:gridCol w:w="3969"/>
        <w:gridCol w:w="5426"/>
      </w:tblGrid>
      <w:tr w:rsidR="006041CA" w14:paraId="6D98206A" w14:textId="77777777">
        <w:trPr>
          <w:trHeight w:val="315"/>
        </w:trPr>
        <w:tc>
          <w:tcPr>
            <w:tcW w:w="9962" w:type="dxa"/>
            <w:gridSpan w:val="3"/>
            <w:tcBorders>
              <w:top w:val="single" w:sz="8" w:space="0" w:color="000000"/>
              <w:left w:val="single" w:sz="8" w:space="0" w:color="000000"/>
              <w:bottom w:val="single" w:sz="8" w:space="0" w:color="000000"/>
              <w:right w:val="single" w:sz="8" w:space="0" w:color="000000"/>
            </w:tcBorders>
            <w:shd w:val="clear" w:color="auto" w:fill="6C0C4C"/>
            <w:vAlign w:val="center"/>
          </w:tcPr>
          <w:p w14:paraId="63D1402E" w14:textId="77777777" w:rsidR="006041CA" w:rsidRDefault="001271CC">
            <w:pPr>
              <w:spacing w:after="120" w:line="360" w:lineRule="auto"/>
              <w:jc w:val="center"/>
              <w:rPr>
                <w:b/>
                <w:color w:val="FFFFFF"/>
              </w:rPr>
            </w:pPr>
            <w:r>
              <w:rPr>
                <w:b/>
                <w:color w:val="FFFFFF"/>
              </w:rPr>
              <w:t>Documentos</w:t>
            </w:r>
          </w:p>
        </w:tc>
      </w:tr>
      <w:tr w:rsidR="006041CA" w14:paraId="217EFFC4" w14:textId="77777777">
        <w:trPr>
          <w:trHeight w:val="315"/>
        </w:trPr>
        <w:tc>
          <w:tcPr>
            <w:tcW w:w="567" w:type="dxa"/>
            <w:tcBorders>
              <w:top w:val="nil"/>
              <w:left w:val="single" w:sz="8" w:space="0" w:color="000000"/>
              <w:bottom w:val="single" w:sz="8" w:space="0" w:color="000000"/>
              <w:right w:val="single" w:sz="8" w:space="0" w:color="000000"/>
            </w:tcBorders>
            <w:shd w:val="clear" w:color="auto" w:fill="6C0C4C"/>
            <w:vAlign w:val="center"/>
          </w:tcPr>
          <w:p w14:paraId="00207E72" w14:textId="77777777" w:rsidR="006041CA" w:rsidRDefault="001271CC">
            <w:pPr>
              <w:spacing w:after="120" w:line="360" w:lineRule="auto"/>
              <w:jc w:val="center"/>
              <w:rPr>
                <w:b/>
                <w:color w:val="FFFFFF"/>
              </w:rPr>
            </w:pPr>
            <w:r>
              <w:rPr>
                <w:b/>
                <w:color w:val="FFFFFF"/>
              </w:rPr>
              <w:t>No.</w:t>
            </w:r>
          </w:p>
        </w:tc>
        <w:tc>
          <w:tcPr>
            <w:tcW w:w="3969" w:type="dxa"/>
            <w:tcBorders>
              <w:top w:val="nil"/>
              <w:left w:val="nil"/>
              <w:bottom w:val="single" w:sz="8" w:space="0" w:color="000000"/>
              <w:right w:val="single" w:sz="8" w:space="0" w:color="000000"/>
            </w:tcBorders>
            <w:shd w:val="clear" w:color="auto" w:fill="6C0C4C"/>
            <w:vAlign w:val="center"/>
          </w:tcPr>
          <w:p w14:paraId="799F794F" w14:textId="77777777" w:rsidR="006041CA" w:rsidRDefault="001271CC">
            <w:pPr>
              <w:spacing w:after="120" w:line="360" w:lineRule="auto"/>
              <w:jc w:val="center"/>
              <w:rPr>
                <w:b/>
                <w:color w:val="FFFFFF"/>
              </w:rPr>
            </w:pPr>
            <w:r>
              <w:rPr>
                <w:b/>
                <w:color w:val="FFFFFF"/>
              </w:rPr>
              <w:t>Nombre</w:t>
            </w:r>
          </w:p>
        </w:tc>
        <w:tc>
          <w:tcPr>
            <w:tcW w:w="5426" w:type="dxa"/>
            <w:tcBorders>
              <w:top w:val="nil"/>
              <w:left w:val="nil"/>
              <w:bottom w:val="single" w:sz="8" w:space="0" w:color="000000"/>
              <w:right w:val="single" w:sz="8" w:space="0" w:color="000000"/>
            </w:tcBorders>
            <w:shd w:val="clear" w:color="auto" w:fill="6C0C4C"/>
            <w:vAlign w:val="center"/>
          </w:tcPr>
          <w:p w14:paraId="75FDB7BF" w14:textId="77777777" w:rsidR="006041CA" w:rsidRDefault="001271CC">
            <w:pPr>
              <w:spacing w:after="120" w:line="360" w:lineRule="auto"/>
              <w:jc w:val="center"/>
              <w:rPr>
                <w:b/>
                <w:color w:val="FFFFFF"/>
              </w:rPr>
            </w:pPr>
            <w:r>
              <w:rPr>
                <w:b/>
                <w:color w:val="FFFFFF"/>
              </w:rPr>
              <w:t>Hipervínculo</w:t>
            </w:r>
          </w:p>
        </w:tc>
      </w:tr>
      <w:tr w:rsidR="006041CA" w14:paraId="218AE714" w14:textId="77777777">
        <w:trPr>
          <w:trHeight w:val="2715"/>
        </w:trPr>
        <w:tc>
          <w:tcPr>
            <w:tcW w:w="567" w:type="dxa"/>
            <w:tcBorders>
              <w:top w:val="nil"/>
              <w:left w:val="single" w:sz="8" w:space="0" w:color="000000"/>
              <w:bottom w:val="single" w:sz="8" w:space="0" w:color="000000"/>
              <w:right w:val="single" w:sz="8" w:space="0" w:color="000000"/>
            </w:tcBorders>
            <w:shd w:val="clear" w:color="auto" w:fill="FFC4D4"/>
            <w:vAlign w:val="center"/>
          </w:tcPr>
          <w:p w14:paraId="2026D2E7" w14:textId="77777777" w:rsidR="006041CA" w:rsidRDefault="001271CC">
            <w:pPr>
              <w:spacing w:after="120" w:line="360" w:lineRule="auto"/>
              <w:jc w:val="center"/>
              <w:rPr>
                <w:color w:val="000000"/>
              </w:rPr>
            </w:pPr>
            <w:r>
              <w:rPr>
                <w:color w:val="000000"/>
              </w:rPr>
              <w:t>1</w:t>
            </w:r>
          </w:p>
        </w:tc>
        <w:tc>
          <w:tcPr>
            <w:tcW w:w="3969" w:type="dxa"/>
            <w:tcBorders>
              <w:top w:val="nil"/>
              <w:left w:val="nil"/>
              <w:bottom w:val="single" w:sz="8" w:space="0" w:color="000000"/>
              <w:right w:val="single" w:sz="8" w:space="0" w:color="000000"/>
            </w:tcBorders>
            <w:shd w:val="clear" w:color="auto" w:fill="auto"/>
            <w:vAlign w:val="center"/>
          </w:tcPr>
          <w:p w14:paraId="0C75B373" w14:textId="77777777" w:rsidR="006041CA" w:rsidRDefault="001271CC">
            <w:pPr>
              <w:spacing w:after="120" w:line="360" w:lineRule="auto"/>
              <w:rPr>
                <w:color w:val="000000"/>
              </w:rPr>
            </w:pPr>
            <w:r>
              <w:rPr>
                <w:color w:val="000000"/>
              </w:rPr>
              <w:t>ACUERDO por el que se da a conocer a los gobiernos de las entidades federativas la distribución y calendarización para la ministración durante el ejercicio fiscal 2023, de los recursos correspondientes a los Ramos Generales 28 Participaciones a Entidades Federativas y Municipios y 33 Aportaciones Federales para Entidades Federativas y Municipios</w:t>
            </w:r>
          </w:p>
        </w:tc>
        <w:tc>
          <w:tcPr>
            <w:tcW w:w="5426" w:type="dxa"/>
            <w:tcBorders>
              <w:top w:val="nil"/>
              <w:left w:val="nil"/>
              <w:bottom w:val="single" w:sz="8" w:space="0" w:color="000000"/>
              <w:right w:val="single" w:sz="8" w:space="0" w:color="000000"/>
            </w:tcBorders>
            <w:shd w:val="clear" w:color="auto" w:fill="auto"/>
            <w:vAlign w:val="center"/>
          </w:tcPr>
          <w:p w14:paraId="1A71F9DA" w14:textId="77777777" w:rsidR="006041CA" w:rsidRDefault="00B551B3">
            <w:pPr>
              <w:spacing w:after="120" w:line="360" w:lineRule="auto"/>
              <w:rPr>
                <w:color w:val="0563C1"/>
                <w:u w:val="single"/>
              </w:rPr>
            </w:pPr>
            <w:hyperlink r:id="rId13" w:anchor="gsc.tab=0">
              <w:r w:rsidR="001271CC">
                <w:rPr>
                  <w:color w:val="0563C1"/>
                  <w:u w:val="single"/>
                </w:rPr>
                <w:t>https://www.dof.gob.mx/nota_detalle.php?codigo=5674889&amp;fecha=19/12/2022#gsc.tab=0</w:t>
              </w:r>
            </w:hyperlink>
          </w:p>
        </w:tc>
      </w:tr>
      <w:tr w:rsidR="006041CA" w14:paraId="7E0F36B0" w14:textId="77777777">
        <w:trPr>
          <w:trHeight w:val="915"/>
        </w:trPr>
        <w:tc>
          <w:tcPr>
            <w:tcW w:w="567" w:type="dxa"/>
            <w:tcBorders>
              <w:top w:val="nil"/>
              <w:left w:val="single" w:sz="8" w:space="0" w:color="000000"/>
              <w:bottom w:val="single" w:sz="8" w:space="0" w:color="000000"/>
              <w:right w:val="single" w:sz="8" w:space="0" w:color="000000"/>
            </w:tcBorders>
            <w:shd w:val="clear" w:color="auto" w:fill="FFC4D4"/>
            <w:vAlign w:val="center"/>
          </w:tcPr>
          <w:p w14:paraId="68CFBDA9" w14:textId="77777777" w:rsidR="006041CA" w:rsidRDefault="001271CC">
            <w:pPr>
              <w:spacing w:after="120" w:line="360" w:lineRule="auto"/>
              <w:jc w:val="center"/>
              <w:rPr>
                <w:color w:val="000000"/>
              </w:rPr>
            </w:pPr>
            <w:r>
              <w:rPr>
                <w:color w:val="000000"/>
              </w:rPr>
              <w:t>2</w:t>
            </w:r>
          </w:p>
        </w:tc>
        <w:tc>
          <w:tcPr>
            <w:tcW w:w="3969" w:type="dxa"/>
            <w:tcBorders>
              <w:top w:val="nil"/>
              <w:left w:val="nil"/>
              <w:bottom w:val="single" w:sz="8" w:space="0" w:color="000000"/>
              <w:right w:val="single" w:sz="8" w:space="0" w:color="000000"/>
            </w:tcBorders>
            <w:shd w:val="clear" w:color="auto" w:fill="auto"/>
            <w:vAlign w:val="center"/>
          </w:tcPr>
          <w:p w14:paraId="04ABDC9B" w14:textId="77777777" w:rsidR="006041CA" w:rsidRDefault="001271CC">
            <w:pPr>
              <w:spacing w:after="120" w:line="360" w:lineRule="auto"/>
              <w:rPr>
                <w:color w:val="000000"/>
              </w:rPr>
            </w:pPr>
            <w:r>
              <w:rPr>
                <w:color w:val="000000"/>
              </w:rPr>
              <w:t>Reporte del Ejercicio del Gasto, Definitivo 2021-2023, Portal de Transparencia Presupuestaria</w:t>
            </w:r>
          </w:p>
        </w:tc>
        <w:tc>
          <w:tcPr>
            <w:tcW w:w="5426" w:type="dxa"/>
            <w:tcBorders>
              <w:top w:val="nil"/>
              <w:left w:val="nil"/>
              <w:bottom w:val="single" w:sz="8" w:space="0" w:color="000000"/>
              <w:right w:val="single" w:sz="8" w:space="0" w:color="000000"/>
            </w:tcBorders>
            <w:shd w:val="clear" w:color="auto" w:fill="auto"/>
            <w:vAlign w:val="center"/>
          </w:tcPr>
          <w:p w14:paraId="503AE27A" w14:textId="77777777" w:rsidR="006041CA" w:rsidRDefault="00B551B3">
            <w:pPr>
              <w:spacing w:after="120" w:line="360" w:lineRule="auto"/>
              <w:rPr>
                <w:color w:val="0563C1"/>
                <w:u w:val="single"/>
              </w:rPr>
            </w:pPr>
            <w:hyperlink r:id="rId14">
              <w:r w:rsidR="001271CC">
                <w:rPr>
                  <w:color w:val="0563C1"/>
                  <w:u w:val="single"/>
                </w:rPr>
                <w:t>https://www.transparenciapresupuestaria.gob.mx/Datos-Abiertos</w:t>
              </w:r>
            </w:hyperlink>
          </w:p>
        </w:tc>
      </w:tr>
      <w:tr w:rsidR="006041CA" w14:paraId="2801EB20" w14:textId="77777777">
        <w:trPr>
          <w:trHeight w:val="915"/>
        </w:trPr>
        <w:tc>
          <w:tcPr>
            <w:tcW w:w="567" w:type="dxa"/>
            <w:tcBorders>
              <w:top w:val="nil"/>
              <w:left w:val="single" w:sz="8" w:space="0" w:color="000000"/>
              <w:bottom w:val="single" w:sz="8" w:space="0" w:color="000000"/>
              <w:right w:val="single" w:sz="8" w:space="0" w:color="000000"/>
            </w:tcBorders>
            <w:shd w:val="clear" w:color="auto" w:fill="FFC4D4"/>
            <w:vAlign w:val="center"/>
          </w:tcPr>
          <w:p w14:paraId="28B1EC02" w14:textId="77777777" w:rsidR="006041CA" w:rsidRDefault="001271CC">
            <w:pPr>
              <w:spacing w:after="120" w:line="360" w:lineRule="auto"/>
              <w:jc w:val="center"/>
              <w:rPr>
                <w:color w:val="000000"/>
              </w:rPr>
            </w:pPr>
            <w:r>
              <w:rPr>
                <w:color w:val="000000"/>
              </w:rPr>
              <w:t>3</w:t>
            </w:r>
          </w:p>
        </w:tc>
        <w:tc>
          <w:tcPr>
            <w:tcW w:w="3969" w:type="dxa"/>
            <w:tcBorders>
              <w:top w:val="nil"/>
              <w:left w:val="nil"/>
              <w:bottom w:val="single" w:sz="8" w:space="0" w:color="000000"/>
              <w:right w:val="single" w:sz="8" w:space="0" w:color="000000"/>
            </w:tcBorders>
            <w:shd w:val="clear" w:color="auto" w:fill="auto"/>
            <w:vAlign w:val="center"/>
          </w:tcPr>
          <w:p w14:paraId="4CB7DC1F" w14:textId="77777777" w:rsidR="006041CA" w:rsidRDefault="001271CC">
            <w:pPr>
              <w:spacing w:after="120" w:line="360" w:lineRule="auto"/>
              <w:rPr>
                <w:color w:val="000000"/>
              </w:rPr>
            </w:pPr>
            <w:r>
              <w:rPr>
                <w:color w:val="000000"/>
              </w:rPr>
              <w:t>MIR del FONE correspondiente al Proyecto de Presupuesto de Egresos de la Federación para el Ejercicio Fiscal 2023</w:t>
            </w:r>
          </w:p>
        </w:tc>
        <w:tc>
          <w:tcPr>
            <w:tcW w:w="5426" w:type="dxa"/>
            <w:tcBorders>
              <w:top w:val="nil"/>
              <w:left w:val="nil"/>
              <w:bottom w:val="single" w:sz="8" w:space="0" w:color="000000"/>
              <w:right w:val="single" w:sz="8" w:space="0" w:color="000000"/>
            </w:tcBorders>
            <w:shd w:val="clear" w:color="auto" w:fill="auto"/>
            <w:vAlign w:val="center"/>
          </w:tcPr>
          <w:p w14:paraId="44847178" w14:textId="77777777" w:rsidR="006041CA" w:rsidRDefault="00B551B3">
            <w:pPr>
              <w:spacing w:after="120" w:line="360" w:lineRule="auto"/>
              <w:rPr>
                <w:color w:val="0563C1"/>
                <w:u w:val="single"/>
              </w:rPr>
            </w:pPr>
            <w:hyperlink r:id="rId15">
              <w:r w:rsidR="001271CC">
                <w:rPr>
                  <w:color w:val="0563C1"/>
                  <w:u w:val="single"/>
                </w:rPr>
                <w:t>https://www.ppef.hacienda.gob.mx/es/PPEF2023/generales</w:t>
              </w:r>
            </w:hyperlink>
          </w:p>
        </w:tc>
      </w:tr>
      <w:tr w:rsidR="006041CA" w14:paraId="7A3D4AFD" w14:textId="77777777">
        <w:trPr>
          <w:trHeight w:val="915"/>
        </w:trPr>
        <w:tc>
          <w:tcPr>
            <w:tcW w:w="567" w:type="dxa"/>
            <w:tcBorders>
              <w:top w:val="nil"/>
              <w:left w:val="single" w:sz="8" w:space="0" w:color="000000"/>
              <w:bottom w:val="single" w:sz="8" w:space="0" w:color="000000"/>
              <w:right w:val="single" w:sz="8" w:space="0" w:color="000000"/>
            </w:tcBorders>
            <w:shd w:val="clear" w:color="auto" w:fill="FFC4D4"/>
            <w:vAlign w:val="center"/>
          </w:tcPr>
          <w:p w14:paraId="6CA5FEFE" w14:textId="77777777" w:rsidR="006041CA" w:rsidRDefault="001271CC">
            <w:pPr>
              <w:spacing w:after="120" w:line="360" w:lineRule="auto"/>
              <w:jc w:val="center"/>
              <w:rPr>
                <w:color w:val="000000"/>
              </w:rPr>
            </w:pPr>
            <w:r>
              <w:rPr>
                <w:color w:val="000000"/>
              </w:rPr>
              <w:t>4</w:t>
            </w:r>
          </w:p>
        </w:tc>
        <w:tc>
          <w:tcPr>
            <w:tcW w:w="3969" w:type="dxa"/>
            <w:tcBorders>
              <w:top w:val="nil"/>
              <w:left w:val="nil"/>
              <w:bottom w:val="single" w:sz="8" w:space="0" w:color="000000"/>
              <w:right w:val="single" w:sz="8" w:space="0" w:color="000000"/>
            </w:tcBorders>
            <w:shd w:val="clear" w:color="auto" w:fill="auto"/>
            <w:vAlign w:val="center"/>
          </w:tcPr>
          <w:p w14:paraId="37344458" w14:textId="77777777" w:rsidR="006041CA" w:rsidRDefault="001271CC">
            <w:pPr>
              <w:spacing w:after="120" w:line="360" w:lineRule="auto"/>
              <w:rPr>
                <w:color w:val="000000"/>
              </w:rPr>
            </w:pPr>
            <w:r>
              <w:rPr>
                <w:color w:val="000000"/>
              </w:rPr>
              <w:t>Lineamientos para la construcción y diseño de indicadores de desempeño mediante la Metodología de Marco Lógico, CONAC</w:t>
            </w:r>
          </w:p>
        </w:tc>
        <w:tc>
          <w:tcPr>
            <w:tcW w:w="5426" w:type="dxa"/>
            <w:tcBorders>
              <w:top w:val="nil"/>
              <w:left w:val="nil"/>
              <w:bottom w:val="single" w:sz="8" w:space="0" w:color="000000"/>
              <w:right w:val="single" w:sz="8" w:space="0" w:color="000000"/>
            </w:tcBorders>
            <w:shd w:val="clear" w:color="auto" w:fill="auto"/>
            <w:vAlign w:val="center"/>
          </w:tcPr>
          <w:p w14:paraId="6B2EB75D" w14:textId="77777777" w:rsidR="006041CA" w:rsidRDefault="00B551B3">
            <w:pPr>
              <w:spacing w:after="120" w:line="360" w:lineRule="auto"/>
              <w:rPr>
                <w:color w:val="0563C1"/>
                <w:u w:val="single"/>
              </w:rPr>
            </w:pPr>
            <w:hyperlink r:id="rId16">
              <w:r w:rsidR="001271CC">
                <w:rPr>
                  <w:color w:val="0563C1"/>
                  <w:u w:val="single"/>
                </w:rPr>
                <w:t>https://www.conac.gob.mx/work/models/CONAC/normatividad/NOR_01_15_002.pdf</w:t>
              </w:r>
            </w:hyperlink>
          </w:p>
        </w:tc>
      </w:tr>
      <w:tr w:rsidR="006041CA" w14:paraId="18A3A1BB" w14:textId="77777777">
        <w:trPr>
          <w:trHeight w:val="615"/>
        </w:trPr>
        <w:tc>
          <w:tcPr>
            <w:tcW w:w="567" w:type="dxa"/>
            <w:tcBorders>
              <w:top w:val="nil"/>
              <w:left w:val="single" w:sz="8" w:space="0" w:color="000000"/>
              <w:bottom w:val="single" w:sz="8" w:space="0" w:color="000000"/>
              <w:right w:val="single" w:sz="8" w:space="0" w:color="000000"/>
            </w:tcBorders>
            <w:shd w:val="clear" w:color="auto" w:fill="FFC4D4"/>
            <w:vAlign w:val="center"/>
          </w:tcPr>
          <w:p w14:paraId="1C72D4CF" w14:textId="77777777" w:rsidR="006041CA" w:rsidRDefault="001271CC">
            <w:pPr>
              <w:spacing w:after="120" w:line="360" w:lineRule="auto"/>
              <w:jc w:val="center"/>
              <w:rPr>
                <w:color w:val="000000"/>
              </w:rPr>
            </w:pPr>
            <w:r>
              <w:rPr>
                <w:color w:val="000000"/>
              </w:rPr>
              <w:t>5</w:t>
            </w:r>
          </w:p>
        </w:tc>
        <w:tc>
          <w:tcPr>
            <w:tcW w:w="3969" w:type="dxa"/>
            <w:tcBorders>
              <w:top w:val="nil"/>
              <w:left w:val="nil"/>
              <w:bottom w:val="single" w:sz="8" w:space="0" w:color="000000"/>
              <w:right w:val="single" w:sz="8" w:space="0" w:color="000000"/>
            </w:tcBorders>
            <w:shd w:val="clear" w:color="auto" w:fill="auto"/>
            <w:vAlign w:val="center"/>
          </w:tcPr>
          <w:p w14:paraId="7C5AB747" w14:textId="77777777" w:rsidR="006041CA" w:rsidRDefault="001271CC">
            <w:pPr>
              <w:spacing w:after="120" w:line="360" w:lineRule="auto"/>
              <w:rPr>
                <w:color w:val="000000"/>
              </w:rPr>
            </w:pPr>
            <w:r>
              <w:rPr>
                <w:color w:val="000000"/>
              </w:rPr>
              <w:t>Guía para el diseño de la Matriz de Indicadores para Resultados, SHCP</w:t>
            </w:r>
          </w:p>
        </w:tc>
        <w:tc>
          <w:tcPr>
            <w:tcW w:w="5426" w:type="dxa"/>
            <w:tcBorders>
              <w:top w:val="nil"/>
              <w:left w:val="nil"/>
              <w:bottom w:val="single" w:sz="8" w:space="0" w:color="000000"/>
              <w:right w:val="single" w:sz="8" w:space="0" w:color="000000"/>
            </w:tcBorders>
            <w:shd w:val="clear" w:color="auto" w:fill="auto"/>
            <w:vAlign w:val="center"/>
          </w:tcPr>
          <w:p w14:paraId="3F3613D5" w14:textId="77777777" w:rsidR="006041CA" w:rsidRDefault="00B551B3">
            <w:pPr>
              <w:spacing w:after="120" w:line="360" w:lineRule="auto"/>
              <w:rPr>
                <w:color w:val="0563C1"/>
                <w:u w:val="single"/>
              </w:rPr>
            </w:pPr>
            <w:hyperlink r:id="rId17">
              <w:r w:rsidR="001271CC">
                <w:rPr>
                  <w:color w:val="0563C1"/>
                  <w:u w:val="single"/>
                </w:rPr>
                <w:t>https://www.transparenciapresupuestaria.gob.mx/work/models/PTP/Capacitacion/GuiaMIR.pdf</w:t>
              </w:r>
            </w:hyperlink>
          </w:p>
        </w:tc>
      </w:tr>
      <w:tr w:rsidR="006041CA" w14:paraId="5B48A8C1" w14:textId="77777777">
        <w:trPr>
          <w:trHeight w:val="615"/>
        </w:trPr>
        <w:tc>
          <w:tcPr>
            <w:tcW w:w="567" w:type="dxa"/>
            <w:tcBorders>
              <w:top w:val="nil"/>
              <w:left w:val="single" w:sz="8" w:space="0" w:color="000000"/>
              <w:bottom w:val="single" w:sz="8" w:space="0" w:color="000000"/>
              <w:right w:val="single" w:sz="8" w:space="0" w:color="000000"/>
            </w:tcBorders>
            <w:shd w:val="clear" w:color="auto" w:fill="FFC4D4"/>
            <w:vAlign w:val="center"/>
          </w:tcPr>
          <w:p w14:paraId="5880441F" w14:textId="77777777" w:rsidR="006041CA" w:rsidRDefault="001271CC">
            <w:pPr>
              <w:spacing w:after="120" w:line="360" w:lineRule="auto"/>
              <w:jc w:val="center"/>
              <w:rPr>
                <w:color w:val="000000"/>
              </w:rPr>
            </w:pPr>
            <w:r>
              <w:rPr>
                <w:color w:val="000000"/>
              </w:rPr>
              <w:t>6</w:t>
            </w:r>
          </w:p>
        </w:tc>
        <w:tc>
          <w:tcPr>
            <w:tcW w:w="3969" w:type="dxa"/>
            <w:tcBorders>
              <w:top w:val="nil"/>
              <w:left w:val="nil"/>
              <w:bottom w:val="single" w:sz="8" w:space="0" w:color="000000"/>
              <w:right w:val="single" w:sz="8" w:space="0" w:color="000000"/>
            </w:tcBorders>
            <w:shd w:val="clear" w:color="auto" w:fill="auto"/>
            <w:vAlign w:val="center"/>
          </w:tcPr>
          <w:p w14:paraId="4BC23426" w14:textId="77777777" w:rsidR="006041CA" w:rsidRDefault="001271CC">
            <w:pPr>
              <w:spacing w:after="120" w:line="360" w:lineRule="auto"/>
              <w:rPr>
                <w:color w:val="000000"/>
              </w:rPr>
            </w:pPr>
            <w:r>
              <w:rPr>
                <w:color w:val="000000"/>
              </w:rPr>
              <w:t xml:space="preserve">Índice de precios implícitos del PIB año base 2018, </w:t>
            </w:r>
          </w:p>
        </w:tc>
        <w:tc>
          <w:tcPr>
            <w:tcW w:w="5426" w:type="dxa"/>
            <w:tcBorders>
              <w:top w:val="nil"/>
              <w:left w:val="nil"/>
              <w:bottom w:val="single" w:sz="8" w:space="0" w:color="000000"/>
              <w:right w:val="single" w:sz="8" w:space="0" w:color="000000"/>
            </w:tcBorders>
            <w:shd w:val="clear" w:color="auto" w:fill="auto"/>
            <w:vAlign w:val="center"/>
          </w:tcPr>
          <w:p w14:paraId="74577C4E" w14:textId="77777777" w:rsidR="006041CA" w:rsidRDefault="001271CC">
            <w:pPr>
              <w:spacing w:after="120" w:line="360" w:lineRule="auto"/>
              <w:rPr>
                <w:color w:val="000000"/>
              </w:rPr>
            </w:pPr>
            <w:r>
              <w:rPr>
                <w:color w:val="000000"/>
              </w:rPr>
              <w:t>Transparencia Presupuestaria Link: https://www.transparenciapresupuestaria.gob.mx</w:t>
            </w:r>
          </w:p>
        </w:tc>
      </w:tr>
      <w:tr w:rsidR="006041CA" w14:paraId="5E3FF826" w14:textId="77777777">
        <w:trPr>
          <w:trHeight w:val="915"/>
        </w:trPr>
        <w:tc>
          <w:tcPr>
            <w:tcW w:w="567" w:type="dxa"/>
            <w:tcBorders>
              <w:top w:val="nil"/>
              <w:left w:val="single" w:sz="8" w:space="0" w:color="000000"/>
              <w:bottom w:val="single" w:sz="8" w:space="0" w:color="000000"/>
              <w:right w:val="single" w:sz="8" w:space="0" w:color="000000"/>
            </w:tcBorders>
            <w:shd w:val="clear" w:color="auto" w:fill="FFC4D4"/>
            <w:vAlign w:val="center"/>
          </w:tcPr>
          <w:p w14:paraId="0D7EEE06" w14:textId="77777777" w:rsidR="006041CA" w:rsidRDefault="001271CC">
            <w:pPr>
              <w:spacing w:after="120" w:line="360" w:lineRule="auto"/>
              <w:jc w:val="center"/>
              <w:rPr>
                <w:color w:val="000000"/>
              </w:rPr>
            </w:pPr>
            <w:r>
              <w:rPr>
                <w:color w:val="000000"/>
              </w:rPr>
              <w:t>7</w:t>
            </w:r>
          </w:p>
        </w:tc>
        <w:tc>
          <w:tcPr>
            <w:tcW w:w="3969" w:type="dxa"/>
            <w:tcBorders>
              <w:top w:val="nil"/>
              <w:left w:val="nil"/>
              <w:bottom w:val="single" w:sz="8" w:space="0" w:color="000000"/>
              <w:right w:val="single" w:sz="8" w:space="0" w:color="000000"/>
            </w:tcBorders>
            <w:shd w:val="clear" w:color="auto" w:fill="auto"/>
            <w:vAlign w:val="center"/>
          </w:tcPr>
          <w:p w14:paraId="597E23F6" w14:textId="77777777" w:rsidR="006041CA" w:rsidRDefault="001271CC">
            <w:pPr>
              <w:spacing w:after="120" w:line="360" w:lineRule="auto"/>
              <w:rPr>
                <w:color w:val="000000"/>
              </w:rPr>
            </w:pPr>
            <w:r>
              <w:rPr>
                <w:color w:val="000000"/>
              </w:rPr>
              <w:t>Principales Cifras del Sistema Educativo Nacional 2022-2023.</w:t>
            </w:r>
          </w:p>
        </w:tc>
        <w:tc>
          <w:tcPr>
            <w:tcW w:w="5426" w:type="dxa"/>
            <w:tcBorders>
              <w:top w:val="nil"/>
              <w:left w:val="nil"/>
              <w:bottom w:val="single" w:sz="8" w:space="0" w:color="000000"/>
              <w:right w:val="single" w:sz="8" w:space="0" w:color="000000"/>
            </w:tcBorders>
            <w:shd w:val="clear" w:color="auto" w:fill="auto"/>
            <w:vAlign w:val="center"/>
          </w:tcPr>
          <w:p w14:paraId="57366EA8" w14:textId="77777777" w:rsidR="006041CA" w:rsidRDefault="00B551B3">
            <w:pPr>
              <w:spacing w:after="120" w:line="360" w:lineRule="auto"/>
              <w:rPr>
                <w:color w:val="0563C1"/>
                <w:u w:val="single"/>
              </w:rPr>
            </w:pPr>
            <w:hyperlink r:id="rId18">
              <w:r w:rsidR="001271CC">
                <w:rPr>
                  <w:color w:val="0563C1"/>
                  <w:u w:val="single"/>
                </w:rPr>
                <w:t>https://www.planeacion.sep.gob.mx/Doc/estadistica_e_indicadores/principales_cifras/principales_cifras_2022_2023_bolsillo.pdf</w:t>
              </w:r>
            </w:hyperlink>
          </w:p>
        </w:tc>
      </w:tr>
    </w:tbl>
    <w:p w14:paraId="571FB0D4" w14:textId="77777777" w:rsidR="006041CA" w:rsidRDefault="006041CA">
      <w:pPr>
        <w:spacing w:after="120" w:line="360" w:lineRule="auto"/>
      </w:pPr>
    </w:p>
    <w:p w14:paraId="75CFABD9" w14:textId="77777777" w:rsidR="006041CA" w:rsidRDefault="001271CC">
      <w:pPr>
        <w:spacing w:after="120" w:line="360" w:lineRule="auto"/>
      </w:pPr>
      <w:r>
        <w:br w:type="page"/>
      </w:r>
    </w:p>
    <w:p w14:paraId="3B00A72F" w14:textId="77777777" w:rsidR="006041CA" w:rsidRDefault="006041CA">
      <w:pPr>
        <w:spacing w:after="120" w:line="360" w:lineRule="auto"/>
      </w:pPr>
    </w:p>
    <w:p w14:paraId="231A7996" w14:textId="77777777" w:rsidR="006041CA" w:rsidRDefault="006041CA">
      <w:pPr>
        <w:pStyle w:val="Ttulo1"/>
        <w:spacing w:before="0" w:after="120" w:line="360" w:lineRule="auto"/>
        <w:jc w:val="center"/>
        <w:rPr>
          <w:rFonts w:ascii="Calibri" w:eastAsia="Calibri" w:hAnsi="Calibri" w:cs="Calibri"/>
          <w:b/>
          <w:color w:val="660033"/>
          <w:sz w:val="52"/>
          <w:szCs w:val="52"/>
        </w:rPr>
      </w:pPr>
    </w:p>
    <w:p w14:paraId="49B73C38" w14:textId="77777777" w:rsidR="006041CA" w:rsidRDefault="006041CA">
      <w:pPr>
        <w:spacing w:after="120" w:line="360" w:lineRule="auto"/>
      </w:pPr>
    </w:p>
    <w:p w14:paraId="158E0A30" w14:textId="77777777" w:rsidR="006041CA" w:rsidRDefault="006041CA">
      <w:pPr>
        <w:pStyle w:val="Ttulo1"/>
        <w:spacing w:before="0" w:after="120" w:line="360" w:lineRule="auto"/>
        <w:jc w:val="center"/>
        <w:rPr>
          <w:rFonts w:ascii="Calibri" w:eastAsia="Calibri" w:hAnsi="Calibri" w:cs="Calibri"/>
          <w:b/>
          <w:color w:val="660033"/>
          <w:sz w:val="52"/>
          <w:szCs w:val="52"/>
        </w:rPr>
      </w:pPr>
    </w:p>
    <w:p w14:paraId="05297EC0" w14:textId="77777777" w:rsidR="006041CA" w:rsidRDefault="006041CA">
      <w:pPr>
        <w:pStyle w:val="Ttulo1"/>
        <w:spacing w:before="0" w:after="120" w:line="360" w:lineRule="auto"/>
        <w:jc w:val="center"/>
        <w:rPr>
          <w:rFonts w:ascii="Calibri" w:eastAsia="Calibri" w:hAnsi="Calibri" w:cs="Calibri"/>
          <w:b/>
          <w:color w:val="660033"/>
          <w:sz w:val="52"/>
          <w:szCs w:val="52"/>
        </w:rPr>
      </w:pPr>
    </w:p>
    <w:p w14:paraId="23F03EC7" w14:textId="77777777" w:rsidR="006041CA" w:rsidRDefault="006041CA">
      <w:pPr>
        <w:pStyle w:val="Ttulo1"/>
        <w:spacing w:before="0" w:after="120" w:line="360" w:lineRule="auto"/>
        <w:jc w:val="center"/>
        <w:rPr>
          <w:rFonts w:ascii="Calibri" w:eastAsia="Calibri" w:hAnsi="Calibri" w:cs="Calibri"/>
          <w:b/>
          <w:color w:val="660033"/>
          <w:sz w:val="52"/>
          <w:szCs w:val="52"/>
        </w:rPr>
      </w:pPr>
    </w:p>
    <w:p w14:paraId="52A52684" w14:textId="77777777" w:rsidR="006041CA" w:rsidRDefault="001271CC">
      <w:pPr>
        <w:pStyle w:val="Ttulo1"/>
        <w:spacing w:before="0" w:after="120" w:line="360" w:lineRule="auto"/>
        <w:jc w:val="center"/>
        <w:rPr>
          <w:rFonts w:ascii="Calibri" w:eastAsia="Calibri" w:hAnsi="Calibri" w:cs="Calibri"/>
          <w:b/>
          <w:color w:val="660033"/>
          <w:sz w:val="52"/>
          <w:szCs w:val="52"/>
        </w:rPr>
      </w:pPr>
      <w:bookmarkStart w:id="13" w:name="_heading=h.26in1rg" w:colFirst="0" w:colLast="0"/>
      <w:bookmarkEnd w:id="13"/>
      <w:r>
        <w:rPr>
          <w:rFonts w:ascii="Calibri" w:eastAsia="Calibri" w:hAnsi="Calibri" w:cs="Calibri"/>
          <w:b/>
          <w:color w:val="660033"/>
          <w:sz w:val="52"/>
          <w:szCs w:val="52"/>
        </w:rPr>
        <w:t>Anexo 7. Formato para la Difusión de los Resultados de las Evaluaciones (CONAC)</w:t>
      </w:r>
    </w:p>
    <w:p w14:paraId="24C38812" w14:textId="77777777" w:rsidR="006041CA" w:rsidRDefault="001271CC">
      <w:pPr>
        <w:spacing w:after="120" w:line="360" w:lineRule="auto"/>
        <w:rPr>
          <w:b/>
          <w:color w:val="000000"/>
          <w:sz w:val="52"/>
          <w:szCs w:val="52"/>
        </w:rPr>
      </w:pPr>
      <w:r>
        <w:br w:type="page"/>
      </w:r>
    </w:p>
    <w:tbl>
      <w:tblPr>
        <w:tblStyle w:val="ab"/>
        <w:tblW w:w="9962" w:type="dxa"/>
        <w:tblInd w:w="-10" w:type="dxa"/>
        <w:tblLayout w:type="fixed"/>
        <w:tblLook w:val="0400" w:firstRow="0" w:lastRow="0" w:firstColumn="0" w:lastColumn="0" w:noHBand="0" w:noVBand="1"/>
      </w:tblPr>
      <w:tblGrid>
        <w:gridCol w:w="5237"/>
        <w:gridCol w:w="4725"/>
      </w:tblGrid>
      <w:tr w:rsidR="006041CA" w14:paraId="6D6336D5"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6C0C4C"/>
            <w:vAlign w:val="center"/>
          </w:tcPr>
          <w:p w14:paraId="7C47E683" w14:textId="77777777" w:rsidR="006041CA" w:rsidRDefault="001271CC">
            <w:pPr>
              <w:spacing w:after="120" w:line="360" w:lineRule="auto"/>
              <w:jc w:val="center"/>
              <w:rPr>
                <w:b/>
                <w:color w:val="FFFFFF"/>
              </w:rPr>
            </w:pPr>
            <w:r>
              <w:rPr>
                <w:b/>
                <w:color w:val="FFFFFF"/>
              </w:rPr>
              <w:t>1. Descripción de la evaluación</w:t>
            </w:r>
          </w:p>
        </w:tc>
      </w:tr>
      <w:tr w:rsidR="006041CA" w14:paraId="1050B3EF"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123B8457" w14:textId="77777777" w:rsidR="006041CA" w:rsidRDefault="001271CC">
            <w:pPr>
              <w:spacing w:after="120" w:line="360" w:lineRule="auto"/>
              <w:rPr>
                <w:color w:val="000000"/>
              </w:rPr>
            </w:pPr>
            <w:r>
              <w:rPr>
                <w:color w:val="000000"/>
              </w:rPr>
              <w:t>1.1 Nombre de la evaluación: Evaluación Específica del Desempeño del Programa Presupuestario Educación Básica Ejercicio Fiscal 2023</w:t>
            </w:r>
          </w:p>
        </w:tc>
      </w:tr>
      <w:tr w:rsidR="006041CA" w14:paraId="1E0ACF36"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00"/>
            <w:vAlign w:val="center"/>
          </w:tcPr>
          <w:p w14:paraId="03137F64" w14:textId="77777777" w:rsidR="006041CA" w:rsidRDefault="001271CC">
            <w:pPr>
              <w:spacing w:after="120" w:line="360" w:lineRule="auto"/>
              <w:rPr>
                <w:color w:val="000000"/>
              </w:rPr>
            </w:pPr>
            <w:r>
              <w:rPr>
                <w:color w:val="000000"/>
              </w:rPr>
              <w:t>1.2 Fecha de inicio de la evaluación (dd/mm/aaaa) :</w:t>
            </w:r>
            <w:r>
              <w:rPr>
                <w:sz w:val="23"/>
                <w:szCs w:val="23"/>
                <w:highlight w:val="yellow"/>
              </w:rPr>
              <w:t>01/08/2024</w:t>
            </w:r>
          </w:p>
        </w:tc>
      </w:tr>
      <w:tr w:rsidR="006041CA" w14:paraId="0A7462DF" w14:textId="77777777">
        <w:trPr>
          <w:trHeight w:val="600"/>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00"/>
            <w:vAlign w:val="center"/>
          </w:tcPr>
          <w:p w14:paraId="1FBC00B8" w14:textId="77777777" w:rsidR="006041CA" w:rsidRDefault="001271CC">
            <w:pPr>
              <w:spacing w:after="120" w:line="360" w:lineRule="auto"/>
              <w:rPr>
                <w:color w:val="000000"/>
              </w:rPr>
            </w:pPr>
            <w:r>
              <w:rPr>
                <w:color w:val="000000"/>
              </w:rPr>
              <w:t xml:space="preserve">1.3 Fecha de término de la evaluación (dd/mm/aaaa): </w:t>
            </w:r>
            <w:r>
              <w:rPr>
                <w:sz w:val="23"/>
                <w:szCs w:val="23"/>
                <w:highlight w:val="yellow"/>
              </w:rPr>
              <w:t>15/12/2024</w:t>
            </w:r>
          </w:p>
        </w:tc>
      </w:tr>
      <w:tr w:rsidR="006041CA" w14:paraId="1303E59A" w14:textId="77777777">
        <w:trPr>
          <w:trHeight w:val="900"/>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00"/>
            <w:vAlign w:val="center"/>
          </w:tcPr>
          <w:p w14:paraId="2E01B830" w14:textId="77777777" w:rsidR="006041CA" w:rsidRDefault="001271CC">
            <w:pPr>
              <w:spacing w:after="120" w:line="360" w:lineRule="auto"/>
              <w:rPr>
                <w:color w:val="000000"/>
              </w:rPr>
            </w:pPr>
            <w:r>
              <w:rPr>
                <w:color w:val="000000"/>
              </w:rPr>
              <w:t xml:space="preserve">1.4 Nombre de la persona responsable de darle seguimiento a la evaluación y nombre de la unidad administrativa a la que pertenece: </w:t>
            </w:r>
          </w:p>
        </w:tc>
      </w:tr>
      <w:tr w:rsidR="006041CA" w14:paraId="4C92DA46" w14:textId="77777777">
        <w:trPr>
          <w:trHeight w:val="315"/>
        </w:trPr>
        <w:tc>
          <w:tcPr>
            <w:tcW w:w="5237" w:type="dxa"/>
            <w:tcBorders>
              <w:top w:val="single" w:sz="8" w:space="0" w:color="000000"/>
              <w:left w:val="single" w:sz="8" w:space="0" w:color="000000"/>
              <w:bottom w:val="single" w:sz="8" w:space="0" w:color="000000"/>
              <w:right w:val="single" w:sz="8" w:space="0" w:color="000000"/>
            </w:tcBorders>
            <w:shd w:val="clear" w:color="auto" w:fill="FFFF00"/>
            <w:vAlign w:val="center"/>
          </w:tcPr>
          <w:p w14:paraId="178C0875" w14:textId="77777777" w:rsidR="006041CA" w:rsidRDefault="001271CC">
            <w:pPr>
              <w:spacing w:after="120" w:line="360" w:lineRule="auto"/>
              <w:rPr>
                <w:color w:val="000000"/>
              </w:rPr>
            </w:pPr>
            <w:r>
              <w:rPr>
                <w:color w:val="000000"/>
              </w:rPr>
              <w:t xml:space="preserve">Nombre: </w:t>
            </w:r>
            <w:r>
              <w:rPr>
                <w:sz w:val="23"/>
                <w:szCs w:val="23"/>
                <w:highlight w:val="yellow"/>
              </w:rPr>
              <w:t xml:space="preserve">Nombre: María Natividad Palominos Mariles </w:t>
            </w:r>
          </w:p>
        </w:tc>
        <w:tc>
          <w:tcPr>
            <w:tcW w:w="4725" w:type="dxa"/>
            <w:tcBorders>
              <w:top w:val="single" w:sz="8" w:space="0" w:color="000000"/>
              <w:left w:val="nil"/>
              <w:bottom w:val="single" w:sz="8" w:space="0" w:color="000000"/>
              <w:right w:val="single" w:sz="8" w:space="0" w:color="000000"/>
            </w:tcBorders>
            <w:shd w:val="clear" w:color="auto" w:fill="FFFF00"/>
            <w:vAlign w:val="center"/>
          </w:tcPr>
          <w:p w14:paraId="722D3D3A" w14:textId="77777777" w:rsidR="006041CA" w:rsidRDefault="001271CC">
            <w:pPr>
              <w:spacing w:after="120" w:line="360" w:lineRule="auto"/>
              <w:rPr>
                <w:color w:val="000000"/>
              </w:rPr>
            </w:pPr>
            <w:r>
              <w:rPr>
                <w:color w:val="000000"/>
              </w:rPr>
              <w:t xml:space="preserve">Unidad administrativa: </w:t>
            </w:r>
            <w:r>
              <w:rPr>
                <w:sz w:val="23"/>
                <w:szCs w:val="23"/>
                <w:highlight w:val="yellow"/>
              </w:rPr>
              <w:t xml:space="preserve">Dirección de Presupuesto y Finanzas </w:t>
            </w:r>
          </w:p>
        </w:tc>
      </w:tr>
      <w:tr w:rsidR="006041CA" w14:paraId="2D8A98DC" w14:textId="77777777">
        <w:trPr>
          <w:trHeight w:val="133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38CC812D" w14:textId="77777777" w:rsidR="006041CA" w:rsidRDefault="001271CC">
            <w:pPr>
              <w:spacing w:after="120" w:line="360" w:lineRule="auto"/>
              <w:jc w:val="both"/>
              <w:rPr>
                <w:color w:val="000000"/>
              </w:rPr>
            </w:pPr>
            <w:r>
              <w:rPr>
                <w:color w:val="000000"/>
              </w:rPr>
              <w:t>1.5 Objetivo general de la evaluación:</w:t>
            </w:r>
          </w:p>
          <w:p w14:paraId="18847BB5" w14:textId="77777777" w:rsidR="006041CA" w:rsidRDefault="001271CC">
            <w:pPr>
              <w:spacing w:after="120" w:line="360" w:lineRule="auto"/>
              <w:jc w:val="both"/>
              <w:rPr>
                <w:color w:val="000000"/>
              </w:rPr>
            </w:pPr>
            <w:r>
              <w:rPr>
                <w:color w:val="000000"/>
              </w:rPr>
              <w:t>Evaluar el desempeño y los resultados de la aplicación de los recursos de los Programas determinados en el Programa Anual de Evaluación 2024, con base en indicadores estratégicos y de gestión, con el fin mejorar la gestión y consecución de resultados de manera eficaz y eficiente, la rendición de cuentas y la transparencia.</w:t>
            </w:r>
          </w:p>
        </w:tc>
      </w:tr>
      <w:tr w:rsidR="006041CA" w14:paraId="63C8026D" w14:textId="77777777">
        <w:trPr>
          <w:trHeight w:val="1331"/>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3916FC0D" w14:textId="77777777" w:rsidR="006041CA" w:rsidRDefault="001271CC">
            <w:pPr>
              <w:spacing w:after="120" w:line="360" w:lineRule="auto"/>
              <w:jc w:val="both"/>
              <w:rPr>
                <w:color w:val="000000"/>
              </w:rPr>
            </w:pPr>
            <w:r>
              <w:rPr>
                <w:color w:val="000000"/>
              </w:rPr>
              <w:t>1.6 Objetivos específicos de la evaluación:</w:t>
            </w:r>
          </w:p>
          <w:p w14:paraId="41D0472E" w14:textId="77777777" w:rsidR="006041CA" w:rsidRDefault="001271CC">
            <w:pPr>
              <w:spacing w:after="120" w:line="360" w:lineRule="auto"/>
              <w:jc w:val="both"/>
              <w:rPr>
                <w:color w:val="000000"/>
              </w:rPr>
            </w:pPr>
            <w:r>
              <w:rPr>
                <w:color w:val="000000"/>
              </w:rPr>
              <w:t>• Verificar el avance en la atención del problema o necesidad para la que fue creado el Programa sujeto de evaluación.</w:t>
            </w:r>
          </w:p>
          <w:p w14:paraId="6E477BFC" w14:textId="77777777" w:rsidR="006041CA" w:rsidRDefault="001271CC">
            <w:pPr>
              <w:spacing w:after="120" w:line="360" w:lineRule="auto"/>
              <w:jc w:val="both"/>
              <w:rPr>
                <w:color w:val="000000"/>
              </w:rPr>
            </w:pPr>
            <w:r>
              <w:rPr>
                <w:color w:val="000000"/>
              </w:rPr>
              <w:t>• Verificar los resultados obtenidos y la alineación de los objetivos del Programa sujeto de evaluación hacia los objetivos de desarrollo estatal y nacional.</w:t>
            </w:r>
          </w:p>
          <w:p w14:paraId="476C6F4D" w14:textId="77777777" w:rsidR="006041CA" w:rsidRDefault="001271CC">
            <w:pPr>
              <w:spacing w:after="120" w:line="360" w:lineRule="auto"/>
              <w:jc w:val="both"/>
              <w:rPr>
                <w:color w:val="000000"/>
              </w:rPr>
            </w:pPr>
            <w:r>
              <w:rPr>
                <w:color w:val="000000"/>
              </w:rPr>
              <w:t>• Verificar la contribución y el destino de los recursos en la prestación de los bienes y servicios que componen al Programa.</w:t>
            </w:r>
          </w:p>
          <w:p w14:paraId="25F6C773" w14:textId="77777777" w:rsidR="006041CA" w:rsidRDefault="001271CC">
            <w:pPr>
              <w:spacing w:after="120" w:line="360" w:lineRule="auto"/>
              <w:jc w:val="both"/>
              <w:rPr>
                <w:color w:val="000000"/>
              </w:rPr>
            </w:pPr>
            <w:r>
              <w:rPr>
                <w:color w:val="000000"/>
              </w:rPr>
              <w:t>• Analizar el avance de las metas de los indicadores de la Matriz de Indicadores para Resultados (MIR) en 2023, respecto de años anteriores y el avance en relación con las metas establecidas</w:t>
            </w:r>
          </w:p>
          <w:p w14:paraId="074E3E87" w14:textId="77777777" w:rsidR="006041CA" w:rsidRDefault="001271CC">
            <w:pPr>
              <w:spacing w:after="120" w:line="360" w:lineRule="auto"/>
              <w:jc w:val="both"/>
              <w:rPr>
                <w:color w:val="000000"/>
              </w:rPr>
            </w:pPr>
            <w:r>
              <w:rPr>
                <w:color w:val="000000"/>
              </w:rPr>
              <w:t xml:space="preserve">• Valorar los cambios en los recursos ejercidos por el Programa en el ejercicio fiscal evaluado y anteriores. </w:t>
            </w:r>
            <w:r>
              <w:rPr>
                <w:color w:val="000000"/>
              </w:rPr>
              <w:br/>
              <w:t>• Analizar la evolución de la cobertura y su eficiencia.</w:t>
            </w:r>
          </w:p>
          <w:p w14:paraId="5FC179E9" w14:textId="77777777" w:rsidR="006041CA" w:rsidRDefault="001271CC">
            <w:pPr>
              <w:spacing w:after="120" w:line="360" w:lineRule="auto"/>
              <w:jc w:val="both"/>
              <w:rPr>
                <w:color w:val="000000"/>
              </w:rPr>
            </w:pPr>
            <w:r>
              <w:rPr>
                <w:color w:val="000000"/>
              </w:rPr>
              <w:t>• Identificar las fortalezas, oportunidades, debilidades y amenazas para la mejora de la gestión y los resultados de la aplicación de los recursos.</w:t>
            </w:r>
          </w:p>
          <w:p w14:paraId="1C6EDAAE" w14:textId="77777777" w:rsidR="006041CA" w:rsidRDefault="001271CC">
            <w:pPr>
              <w:spacing w:after="120" w:line="360" w:lineRule="auto"/>
              <w:jc w:val="both"/>
              <w:rPr>
                <w:color w:val="000000"/>
              </w:rPr>
            </w:pPr>
            <w:r>
              <w:rPr>
                <w:color w:val="000000"/>
              </w:rPr>
              <w:t>• Identificar las acciones de mejora implementadas y su avance de cumplimiento.</w:t>
            </w:r>
          </w:p>
        </w:tc>
      </w:tr>
      <w:tr w:rsidR="006041CA" w14:paraId="13AC69C8"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0B11F8CD" w14:textId="77777777" w:rsidR="006041CA" w:rsidRDefault="001271CC">
            <w:pPr>
              <w:spacing w:after="120" w:line="360" w:lineRule="auto"/>
              <w:jc w:val="both"/>
              <w:rPr>
                <w:color w:val="000000"/>
              </w:rPr>
            </w:pPr>
            <w:r>
              <w:rPr>
                <w:color w:val="000000"/>
              </w:rPr>
              <w:t>1.7 Metodología utilizada en la evaluación:</w:t>
            </w:r>
          </w:p>
          <w:p w14:paraId="4B8284D9" w14:textId="77777777" w:rsidR="006041CA" w:rsidRDefault="001271CC">
            <w:pPr>
              <w:spacing w:after="120" w:line="360" w:lineRule="auto"/>
              <w:jc w:val="both"/>
              <w:rPr>
                <w:color w:val="000000"/>
              </w:rPr>
            </w:pPr>
            <w:r>
              <w:rPr>
                <w:color w:val="000000"/>
              </w:rPr>
              <w:t>La metodología de la Evaluación Específica del Desempeño, está basada en los términos emitidos por el Consejo Nacional de Evaluación de la Política de Desarrollo Social (CONEVAL) , para los temas sociales; y de la Secretaría de Hacienda y Crédito Público (SHCP) , para los temas de fortalecimiento financiero; sin embargo, de acuerdo con las necesidades de información evaluativa que requiere el Gobierno del Estado de Michoacán, fueron adecuados algunos de los temas de análisis y sus respectivas preguntas metodológicas.</w:t>
            </w:r>
          </w:p>
          <w:p w14:paraId="692F5165" w14:textId="77777777" w:rsidR="006041CA" w:rsidRDefault="001271CC">
            <w:pPr>
              <w:spacing w:after="120" w:line="360" w:lineRule="auto"/>
              <w:jc w:val="both"/>
              <w:rPr>
                <w:color w:val="000000"/>
              </w:rPr>
            </w:pPr>
            <w:r>
              <w:rPr>
                <w:color w:val="000000"/>
              </w:rPr>
              <w:t>En ese sentido, la metodología fue diseñada para generar información útil, rigurosa y homogénea para los involucrados en la administración y ejecución de los recursos federales sujetos de evaluación, de tal forma que contribuya a mejorar la toma de decisiones a nivel estratégico y con ello, mejorar la Gestión para Resultados y la calidad del Gasto Público.</w:t>
            </w:r>
          </w:p>
          <w:p w14:paraId="5752845B" w14:textId="77777777" w:rsidR="006041CA" w:rsidRDefault="001271CC">
            <w:pPr>
              <w:spacing w:after="120" w:line="360" w:lineRule="auto"/>
              <w:jc w:val="both"/>
              <w:rPr>
                <w:color w:val="000000"/>
              </w:rPr>
            </w:pPr>
            <w:r>
              <w:rPr>
                <w:color w:val="000000"/>
              </w:rPr>
              <w:t>Contiene 20 preguntas metodológicas agrupadas en cinco temas de análisis que son: Resultados; Productos; Presupuesto; Cobertura y Aspectos Susceptibles de Mejora</w:t>
            </w:r>
          </w:p>
        </w:tc>
      </w:tr>
      <w:tr w:rsidR="006041CA" w14:paraId="650BB3D8"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5862E583" w14:textId="77777777" w:rsidR="006041CA" w:rsidRDefault="001271CC">
            <w:pPr>
              <w:spacing w:after="120" w:line="360" w:lineRule="auto"/>
              <w:rPr>
                <w:color w:val="000000"/>
              </w:rPr>
            </w:pPr>
            <w:r>
              <w:rPr>
                <w:color w:val="000000"/>
              </w:rPr>
              <w:t>Instrumentos de recolección de información: </w:t>
            </w:r>
          </w:p>
        </w:tc>
      </w:tr>
      <w:tr w:rsidR="006041CA" w14:paraId="3B99186B" w14:textId="77777777">
        <w:trPr>
          <w:trHeight w:val="37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0CFF5CD5" w14:textId="77777777" w:rsidR="006041CA" w:rsidRDefault="001271CC">
            <w:pPr>
              <w:spacing w:after="120" w:line="360" w:lineRule="auto"/>
              <w:rPr>
                <w:color w:val="000000"/>
              </w:rPr>
            </w:pPr>
            <w:r>
              <w:rPr>
                <w:color w:val="000000"/>
              </w:rPr>
              <w:t xml:space="preserve"> Cuestionarios__ Entrevistas__ Formatos__ Otros </w:t>
            </w:r>
            <w:r>
              <w:rPr>
                <w:b/>
                <w:color w:val="000000"/>
              </w:rPr>
              <w:t>X</w:t>
            </w:r>
            <w:r>
              <w:rPr>
                <w:color w:val="000000"/>
              </w:rPr>
              <w:t> Especifique: Información de Gabinete</w:t>
            </w:r>
          </w:p>
        </w:tc>
      </w:tr>
      <w:tr w:rsidR="006041CA" w14:paraId="762FA008" w14:textId="77777777">
        <w:trPr>
          <w:trHeight w:val="1350"/>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B4A8DD2" w14:textId="77777777" w:rsidR="006041CA" w:rsidRDefault="001271CC">
            <w:pPr>
              <w:spacing w:after="120" w:line="360" w:lineRule="auto"/>
              <w:rPr>
                <w:color w:val="000000"/>
              </w:rPr>
            </w:pPr>
            <w:r>
              <w:rPr>
                <w:color w:val="000000"/>
              </w:rPr>
              <w:t>Descripción de las técnicas y modelos utilizados: </w:t>
            </w:r>
            <w:r>
              <w:rPr>
                <w:color w:val="000000"/>
              </w:rPr>
              <w:br/>
              <w:t>El modelo general de la Evaluación de la Gestión Institucional con Enfoque de Resultados es una evaluación de gabinete que, mediante evidencias documentales enviadas como fuentes de información por parte del ente público evaluado, permite al evaluador externo valorar procesos, indicadores y resultados.</w:t>
            </w:r>
          </w:p>
        </w:tc>
      </w:tr>
      <w:tr w:rsidR="006041CA" w14:paraId="5C424E18"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6C0C4C"/>
            <w:vAlign w:val="center"/>
          </w:tcPr>
          <w:p w14:paraId="1C1B3EBB" w14:textId="77777777" w:rsidR="006041CA" w:rsidRDefault="001271CC">
            <w:pPr>
              <w:spacing w:after="120" w:line="360" w:lineRule="auto"/>
              <w:jc w:val="center"/>
              <w:rPr>
                <w:b/>
                <w:color w:val="FFFFFF"/>
              </w:rPr>
            </w:pPr>
            <w:r>
              <w:rPr>
                <w:b/>
                <w:color w:val="FFFFFF"/>
              </w:rPr>
              <w:t>2. Principales Hallazgos de la evaluación</w:t>
            </w:r>
          </w:p>
        </w:tc>
      </w:tr>
      <w:tr w:rsidR="006041CA" w14:paraId="02D3E2B2" w14:textId="77777777">
        <w:trPr>
          <w:trHeight w:val="764"/>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6BAD777" w14:textId="77777777" w:rsidR="006041CA" w:rsidRDefault="001271CC">
            <w:pPr>
              <w:spacing w:after="120" w:line="360" w:lineRule="auto"/>
              <w:rPr>
                <w:color w:val="000000"/>
              </w:rPr>
            </w:pPr>
            <w:r>
              <w:rPr>
                <w:color w:val="000000"/>
              </w:rPr>
              <w:t xml:space="preserve">2.1 Describir los hallazgos más relevantes de la evaluación: </w:t>
            </w:r>
          </w:p>
          <w:p w14:paraId="78E8EDE2" w14:textId="77777777" w:rsidR="006041CA" w:rsidRDefault="001271CC">
            <w:pPr>
              <w:spacing w:after="120" w:line="360" w:lineRule="auto"/>
              <w:jc w:val="both"/>
              <w:rPr>
                <w:color w:val="000000"/>
              </w:rPr>
            </w:pPr>
            <w:r>
              <w:rPr>
                <w:color w:val="000000"/>
              </w:rPr>
              <w:t>• Los objetivos del Programa presupuestario son congruentes con los resultados definidos en la normatividad Federal correspondiente al FONE.</w:t>
            </w:r>
          </w:p>
          <w:p w14:paraId="1AFAE878" w14:textId="77777777" w:rsidR="006041CA" w:rsidRDefault="001271CC">
            <w:pPr>
              <w:spacing w:after="120" w:line="360" w:lineRule="auto"/>
              <w:jc w:val="both"/>
              <w:rPr>
                <w:color w:val="000000"/>
              </w:rPr>
            </w:pPr>
            <w:r>
              <w:rPr>
                <w:color w:val="000000"/>
              </w:rPr>
              <w:t>• Se define una estrategia de cobertura estatal, en la cual es posible identificar la población objetivo del Programa presupuestario, la cual es congruente con lo señalado en la normatividad federal.</w:t>
            </w:r>
          </w:p>
          <w:p w14:paraId="26B516B1" w14:textId="77777777" w:rsidR="006041CA" w:rsidRDefault="001271CC">
            <w:pPr>
              <w:spacing w:after="120" w:line="360" w:lineRule="auto"/>
              <w:jc w:val="both"/>
              <w:rPr>
                <w:color w:val="000000"/>
              </w:rPr>
            </w:pPr>
            <w:r>
              <w:rPr>
                <w:color w:val="000000"/>
              </w:rPr>
              <w:t>• Los indicadores de resultados y de Componentes del Programa presupuestario cumplen con el criterio de Relevante, ya que miden aspectos sustantivos del objetivo.</w:t>
            </w:r>
          </w:p>
          <w:p w14:paraId="0C3448A4" w14:textId="77777777" w:rsidR="006041CA" w:rsidRDefault="001271CC">
            <w:pPr>
              <w:spacing w:after="120" w:line="360" w:lineRule="auto"/>
              <w:jc w:val="both"/>
              <w:rPr>
                <w:color w:val="000000"/>
              </w:rPr>
            </w:pPr>
            <w:r>
              <w:rPr>
                <w:color w:val="000000"/>
              </w:rPr>
              <w:t>• Los resultados de los indicadores estratégicos del Pp son aceptables, ya que de acuerdo al ejercicio fiscal 2023 se cumplieron en su totalidad.</w:t>
            </w:r>
          </w:p>
          <w:p w14:paraId="4CD361DE" w14:textId="77777777" w:rsidR="006041CA" w:rsidRDefault="001271CC">
            <w:pPr>
              <w:spacing w:after="120" w:line="360" w:lineRule="auto"/>
              <w:jc w:val="both"/>
              <w:rPr>
                <w:color w:val="000000"/>
              </w:rPr>
            </w:pPr>
            <w:r>
              <w:rPr>
                <w:color w:val="000000"/>
              </w:rPr>
              <w:t>• Ningún indicador a nivel de Componente del Programa presupuestario mide las dimensiones de Calidad o Eficiencia.</w:t>
            </w:r>
          </w:p>
          <w:p w14:paraId="645E5484" w14:textId="77777777" w:rsidR="006041CA" w:rsidRDefault="001271CC">
            <w:pPr>
              <w:spacing w:after="120" w:line="360" w:lineRule="auto"/>
              <w:jc w:val="both"/>
              <w:rPr>
                <w:color w:val="000000"/>
              </w:rPr>
            </w:pPr>
            <w:r>
              <w:rPr>
                <w:color w:val="000000"/>
              </w:rPr>
              <w:t>• Todos los indicadores de los Componentes del Pp reportan un cumplimiento del 100% para el ejercicio 2023.</w:t>
            </w:r>
          </w:p>
          <w:p w14:paraId="11DD481D" w14:textId="77777777" w:rsidR="006041CA" w:rsidRDefault="001271CC">
            <w:pPr>
              <w:spacing w:after="120" w:line="360" w:lineRule="auto"/>
              <w:jc w:val="both"/>
              <w:rPr>
                <w:color w:val="000000"/>
              </w:rPr>
            </w:pPr>
            <w:r>
              <w:rPr>
                <w:color w:val="000000"/>
              </w:rPr>
              <w:t xml:space="preserve">• Se identifica que los recursos del FONE durante el periodo 2021-2023 los recursos ministrados nominales </w:t>
            </w:r>
            <w:r>
              <w:rPr>
                <w:highlight w:val="yellow"/>
              </w:rPr>
              <w:t>se han</w:t>
            </w:r>
            <w:r>
              <w:rPr>
                <w:color w:val="000000"/>
                <w:highlight w:val="yellow"/>
              </w:rPr>
              <w:t xml:space="preserve"> </w:t>
            </w:r>
            <w:r>
              <w:rPr>
                <w:color w:val="000000"/>
              </w:rPr>
              <w:t>incrementado para cada ejercicio fiscal.</w:t>
            </w:r>
          </w:p>
          <w:p w14:paraId="7124332F" w14:textId="77777777" w:rsidR="006041CA" w:rsidRDefault="001271CC">
            <w:pPr>
              <w:spacing w:after="120" w:line="360" w:lineRule="auto"/>
              <w:jc w:val="both"/>
              <w:rPr>
                <w:color w:val="000000"/>
              </w:rPr>
            </w:pPr>
            <w:r>
              <w:rPr>
                <w:color w:val="000000"/>
              </w:rPr>
              <w:t>• De acuerdo a lo reportado en el SRFT se pagó el 99.9% del recurso ministrado del FONE en el ejercicio 2023.</w:t>
            </w:r>
          </w:p>
          <w:p w14:paraId="14CC8A30" w14:textId="77777777" w:rsidR="006041CA" w:rsidRDefault="001271CC">
            <w:pPr>
              <w:spacing w:after="120" w:line="360" w:lineRule="auto"/>
              <w:jc w:val="both"/>
              <w:rPr>
                <w:color w:val="000000"/>
              </w:rPr>
            </w:pPr>
            <w:r>
              <w:rPr>
                <w:color w:val="000000"/>
              </w:rPr>
              <w:t>• Se identifica una variación del 27.88% del recurso ministrado real respecto al nominal durante el ejercicio fiscal 2023.</w:t>
            </w:r>
          </w:p>
          <w:p w14:paraId="05DE0D83" w14:textId="77777777" w:rsidR="006041CA" w:rsidRDefault="001271CC">
            <w:pPr>
              <w:spacing w:after="120" w:line="360" w:lineRule="auto"/>
              <w:jc w:val="both"/>
              <w:rPr>
                <w:color w:val="000000"/>
              </w:rPr>
            </w:pPr>
            <w:r>
              <w:rPr>
                <w:color w:val="000000"/>
              </w:rPr>
              <w:t xml:space="preserve">• Se cuenta con una Estrategia de Cobertura, la cual es un documento de planeación institucional la cual apoya para la planeación del Programa presupuestario. </w:t>
            </w:r>
          </w:p>
          <w:p w14:paraId="32B9054D" w14:textId="77777777" w:rsidR="006041CA" w:rsidRDefault="001271CC">
            <w:pPr>
              <w:spacing w:after="120" w:line="360" w:lineRule="auto"/>
              <w:jc w:val="both"/>
              <w:rPr>
                <w:color w:val="000000"/>
              </w:rPr>
            </w:pPr>
            <w:r>
              <w:rPr>
                <w:color w:val="000000"/>
              </w:rPr>
              <w:t>• La cobertura anual del Programa presupuestario fue del 100% para el ejercicio 2023.</w:t>
            </w:r>
          </w:p>
          <w:p w14:paraId="7F0D22FA" w14:textId="77777777" w:rsidR="006041CA" w:rsidRDefault="001271CC">
            <w:pPr>
              <w:spacing w:after="120" w:line="360" w:lineRule="auto"/>
              <w:jc w:val="both"/>
              <w:rPr>
                <w:color w:val="000000"/>
              </w:rPr>
            </w:pPr>
            <w:r>
              <w:rPr>
                <w:color w:val="000000"/>
              </w:rPr>
              <w:t>• La Eficiencia de Cobertura para el ejercicio 2023 es del 100%, además se identifica que se incrementa la eficiencia de cobertura del 2021 al 2022 y este resultado se sostiene en el ejercicio 2023.</w:t>
            </w:r>
          </w:p>
          <w:p w14:paraId="3603C004" w14:textId="77777777" w:rsidR="006041CA" w:rsidRDefault="001271CC">
            <w:pPr>
              <w:spacing w:after="120" w:line="360" w:lineRule="auto"/>
              <w:jc w:val="both"/>
              <w:rPr>
                <w:color w:val="000000"/>
              </w:rPr>
            </w:pPr>
            <w:r>
              <w:rPr>
                <w:color w:val="000000"/>
              </w:rPr>
              <w:t>• El Costo Efectividad es el esperado para el ejercicio 2023.</w:t>
            </w:r>
          </w:p>
          <w:p w14:paraId="48EA2235" w14:textId="77777777" w:rsidR="006041CA" w:rsidRDefault="001271CC">
            <w:pPr>
              <w:spacing w:after="120" w:line="360" w:lineRule="auto"/>
              <w:jc w:val="both"/>
              <w:rPr>
                <w:color w:val="000000"/>
              </w:rPr>
            </w:pPr>
            <w:r>
              <w:rPr>
                <w:color w:val="000000"/>
              </w:rPr>
              <w:t>• Se cuenta con documentos de trabajo donde se identifica que se han atendido los ASM aceptados en el Documento de Posición Institucional.</w:t>
            </w:r>
          </w:p>
          <w:p w14:paraId="592F3367" w14:textId="77777777" w:rsidR="006041CA" w:rsidRDefault="001271CC">
            <w:pPr>
              <w:spacing w:after="120" w:line="360" w:lineRule="auto"/>
              <w:jc w:val="both"/>
              <w:rPr>
                <w:color w:val="000000"/>
              </w:rPr>
            </w:pPr>
            <w:r>
              <w:rPr>
                <w:color w:val="000000"/>
              </w:rPr>
              <w:t>• Las Recomendaciones emitidas en el formato de evaluación del ejercicio fiscal inmediato anterior se clasificaron y validaron por el ente público encargado del Programa presupuestario.</w:t>
            </w:r>
          </w:p>
        </w:tc>
      </w:tr>
      <w:tr w:rsidR="006041CA" w14:paraId="11CB8BCE" w14:textId="77777777">
        <w:trPr>
          <w:trHeight w:val="55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15AC65D6" w14:textId="77777777" w:rsidR="006041CA" w:rsidRDefault="001271CC">
            <w:pPr>
              <w:spacing w:after="120" w:line="360" w:lineRule="auto"/>
              <w:rPr>
                <w:color w:val="000000"/>
              </w:rPr>
            </w:pPr>
            <w:r>
              <w:rPr>
                <w:color w:val="000000"/>
              </w:rPr>
              <w:t>2.2 Señalar cuáles son las principales Fortalezas, Oportunidades, Debilidades y Amenazas, de acuerdo con los temas del Programa, estrategia o instituciones.</w:t>
            </w:r>
          </w:p>
        </w:tc>
      </w:tr>
      <w:tr w:rsidR="006041CA" w14:paraId="188642D0"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48BF05C6" w14:textId="77777777" w:rsidR="006041CA" w:rsidRDefault="001271CC">
            <w:pPr>
              <w:spacing w:after="120" w:line="360" w:lineRule="auto"/>
              <w:jc w:val="both"/>
              <w:rPr>
                <w:color w:val="000000"/>
              </w:rPr>
            </w:pPr>
            <w:r>
              <w:rPr>
                <w:color w:val="000000"/>
              </w:rPr>
              <w:t>2.2.1 Fortalezas:</w:t>
            </w:r>
          </w:p>
          <w:p w14:paraId="634D4FA6" w14:textId="77777777" w:rsidR="006041CA" w:rsidRDefault="001271CC">
            <w:pPr>
              <w:spacing w:after="120" w:line="360" w:lineRule="auto"/>
              <w:jc w:val="both"/>
              <w:rPr>
                <w:color w:val="000000"/>
              </w:rPr>
            </w:pPr>
            <w:r>
              <w:rPr>
                <w:color w:val="000000"/>
              </w:rPr>
              <w:t>• Los indicadores estratégicos de la MIR del Programa AE01 Educación Básica cumplen con el criterio de Relevante.</w:t>
            </w:r>
          </w:p>
          <w:p w14:paraId="27F58187" w14:textId="77777777" w:rsidR="006041CA" w:rsidRDefault="001271CC">
            <w:pPr>
              <w:spacing w:after="120" w:line="360" w:lineRule="auto"/>
              <w:jc w:val="both"/>
              <w:rPr>
                <w:color w:val="000000"/>
              </w:rPr>
            </w:pPr>
            <w:r>
              <w:rPr>
                <w:color w:val="000000"/>
              </w:rPr>
              <w:t>• Las metas de los indicadores a nivel de Componente del Pp reportan un cumplimiento del 100% para el 2023.</w:t>
            </w:r>
          </w:p>
          <w:p w14:paraId="1076D2F1" w14:textId="77777777" w:rsidR="006041CA" w:rsidRDefault="001271CC">
            <w:pPr>
              <w:spacing w:after="120" w:line="360" w:lineRule="auto"/>
              <w:jc w:val="both"/>
              <w:rPr>
                <w:color w:val="000000"/>
              </w:rPr>
            </w:pPr>
            <w:r>
              <w:rPr>
                <w:color w:val="000000"/>
              </w:rPr>
              <w:t>• Se valida el criterio de evaluabilidad de los indicadores a nivel Componente, ya que sí se definen los medios de verificación y fuentes de información.</w:t>
            </w:r>
          </w:p>
          <w:p w14:paraId="39871230" w14:textId="77777777" w:rsidR="006041CA" w:rsidRDefault="001271CC">
            <w:pPr>
              <w:spacing w:after="120" w:line="360" w:lineRule="auto"/>
              <w:jc w:val="both"/>
              <w:rPr>
                <w:color w:val="000000"/>
              </w:rPr>
            </w:pPr>
            <w:r>
              <w:rPr>
                <w:color w:val="000000"/>
              </w:rPr>
              <w:t>• El ejercicio de los recursos del FONE se apegan a la normatividad aplicable y presenta congruencia con los Componentes de la MIR del Pp.</w:t>
            </w:r>
          </w:p>
          <w:p w14:paraId="0DD17C7B" w14:textId="77777777" w:rsidR="006041CA" w:rsidRDefault="001271CC">
            <w:pPr>
              <w:spacing w:after="120" w:line="360" w:lineRule="auto"/>
              <w:jc w:val="both"/>
              <w:rPr>
                <w:color w:val="000000"/>
              </w:rPr>
            </w:pPr>
            <w:r>
              <w:rPr>
                <w:color w:val="000000"/>
              </w:rPr>
              <w:t>• Se cuenta con una estrategia de cobertura por parte del ente público encargado del Programa presupuestario.</w:t>
            </w:r>
            <w:r>
              <w:rPr>
                <w:color w:val="000000"/>
              </w:rPr>
              <w:br/>
              <w:t>Para el ejercicio fiscal 2023 se identifica una Eficacia de Cobertura del 100%.</w:t>
            </w:r>
          </w:p>
          <w:p w14:paraId="38A12146" w14:textId="77777777" w:rsidR="006041CA" w:rsidRDefault="001271CC">
            <w:pPr>
              <w:spacing w:after="120" w:line="360" w:lineRule="auto"/>
              <w:jc w:val="both"/>
              <w:rPr>
                <w:color w:val="000000"/>
              </w:rPr>
            </w:pPr>
            <w:r>
              <w:rPr>
                <w:color w:val="000000"/>
              </w:rPr>
              <w:t>• En los formatos de seguimiento de atención de los ASM es posible identificar las Actividades a realizar para atender los ASM definidos.</w:t>
            </w:r>
          </w:p>
        </w:tc>
      </w:tr>
      <w:tr w:rsidR="006041CA" w14:paraId="4CA2D90E"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1BDEADE" w14:textId="77777777" w:rsidR="006041CA" w:rsidRDefault="001271CC">
            <w:pPr>
              <w:spacing w:after="120" w:line="360" w:lineRule="auto"/>
              <w:jc w:val="both"/>
              <w:rPr>
                <w:color w:val="000000"/>
              </w:rPr>
            </w:pPr>
            <w:r>
              <w:rPr>
                <w:color w:val="000000"/>
              </w:rPr>
              <w:t>2.2.2 Oportunidades:</w:t>
            </w:r>
          </w:p>
          <w:p w14:paraId="1DE84787" w14:textId="77777777" w:rsidR="006041CA" w:rsidRDefault="001271CC">
            <w:pPr>
              <w:spacing w:after="120" w:line="360" w:lineRule="auto"/>
              <w:jc w:val="both"/>
              <w:rPr>
                <w:color w:val="000000"/>
              </w:rPr>
            </w:pPr>
            <w:r>
              <w:rPr>
                <w:color w:val="000000"/>
              </w:rPr>
              <w:t>• La mayoría de los indicadores de gestión de la MIR Federal del FONE de responsabilidad estatal se cumplieron, esto de acuerdo con el parámetro de cumplimiento de las metas de ±10%.</w:t>
            </w:r>
          </w:p>
          <w:p w14:paraId="730CC9B3" w14:textId="77777777" w:rsidR="006041CA" w:rsidRDefault="001271CC">
            <w:pPr>
              <w:spacing w:after="120" w:line="360" w:lineRule="auto"/>
              <w:jc w:val="both"/>
              <w:rPr>
                <w:color w:val="000000"/>
              </w:rPr>
            </w:pPr>
            <w:r>
              <w:rPr>
                <w:color w:val="000000"/>
              </w:rPr>
              <w:t>• En la Guía para el diseño de la Matriz de Indicadores para Resultados se describe que un Pp no se está obligado a registrar indicadores para todas las dimensiones descritas.</w:t>
            </w:r>
          </w:p>
        </w:tc>
      </w:tr>
      <w:tr w:rsidR="006041CA" w14:paraId="0BBED2C5"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1E6DBFD6" w14:textId="77777777" w:rsidR="006041CA" w:rsidRDefault="001271CC">
            <w:pPr>
              <w:spacing w:after="120" w:line="360" w:lineRule="auto"/>
              <w:jc w:val="both"/>
              <w:rPr>
                <w:color w:val="000000"/>
              </w:rPr>
            </w:pPr>
            <w:r>
              <w:rPr>
                <w:color w:val="000000"/>
              </w:rPr>
              <w:t xml:space="preserve">2.2.3 Debilidades: </w:t>
            </w:r>
          </w:p>
          <w:p w14:paraId="73652EBC" w14:textId="77777777" w:rsidR="006041CA" w:rsidRDefault="001271CC">
            <w:pPr>
              <w:spacing w:after="120" w:line="360" w:lineRule="auto"/>
              <w:jc w:val="both"/>
              <w:rPr>
                <w:color w:val="000000"/>
              </w:rPr>
            </w:pPr>
            <w:r>
              <w:rPr>
                <w:color w:val="000000"/>
              </w:rPr>
              <w:t>No se identificaron debilidades.</w:t>
            </w:r>
          </w:p>
        </w:tc>
      </w:tr>
      <w:tr w:rsidR="006041CA" w14:paraId="01279A86"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32A87568" w14:textId="77777777" w:rsidR="006041CA" w:rsidRDefault="001271CC">
            <w:pPr>
              <w:spacing w:after="120" w:line="360" w:lineRule="auto"/>
              <w:jc w:val="both"/>
              <w:rPr>
                <w:color w:val="000000"/>
              </w:rPr>
            </w:pPr>
            <w:r>
              <w:rPr>
                <w:color w:val="000000"/>
              </w:rPr>
              <w:t>2.3.4 Amenazas:</w:t>
            </w:r>
          </w:p>
          <w:p w14:paraId="03ACE636" w14:textId="77777777" w:rsidR="006041CA" w:rsidRDefault="001271CC">
            <w:pPr>
              <w:spacing w:after="120" w:line="360" w:lineRule="auto"/>
              <w:jc w:val="both"/>
              <w:rPr>
                <w:color w:val="000000"/>
              </w:rPr>
            </w:pPr>
            <w:r>
              <w:rPr>
                <w:color w:val="000000"/>
              </w:rPr>
              <w:t>• No se define la temporalidad de la publicación de los medios de verificación de los indicadores a nivel de resultados (Fin y Propósito) del Programa presupuestario.</w:t>
            </w:r>
          </w:p>
          <w:p w14:paraId="1B08476A" w14:textId="77777777" w:rsidR="006041CA" w:rsidRDefault="001271CC">
            <w:pPr>
              <w:spacing w:after="120" w:line="360" w:lineRule="auto"/>
              <w:jc w:val="both"/>
              <w:rPr>
                <w:color w:val="000000"/>
              </w:rPr>
            </w:pPr>
            <w:r>
              <w:rPr>
                <w:color w:val="000000"/>
              </w:rPr>
              <w:t>• No se define la temporalidad de la publicación de los medios de verificación de los indicadores a nivel de Componente del Programa presupuestario.</w:t>
            </w:r>
          </w:p>
          <w:p w14:paraId="27A85DEA" w14:textId="77777777" w:rsidR="006041CA" w:rsidRDefault="001271CC">
            <w:pPr>
              <w:spacing w:after="120" w:line="360" w:lineRule="auto"/>
              <w:jc w:val="both"/>
              <w:rPr>
                <w:color w:val="000000"/>
              </w:rPr>
            </w:pPr>
            <w:r>
              <w:rPr>
                <w:color w:val="000000"/>
              </w:rPr>
              <w:t>• En los Formatos de los Indicadores de la MIR del Programa presupuestario se define que los indicadores a nivel de Componente sólo miden la dimensión de eficacia.</w:t>
            </w:r>
          </w:p>
        </w:tc>
      </w:tr>
      <w:tr w:rsidR="006041CA" w14:paraId="60B72835" w14:textId="77777777">
        <w:trPr>
          <w:trHeight w:val="600"/>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6C0C4C"/>
            <w:vAlign w:val="center"/>
          </w:tcPr>
          <w:p w14:paraId="675FC937" w14:textId="77777777" w:rsidR="006041CA" w:rsidRDefault="001271CC">
            <w:pPr>
              <w:spacing w:after="120" w:line="360" w:lineRule="auto"/>
              <w:jc w:val="center"/>
              <w:rPr>
                <w:b/>
                <w:color w:val="FFFFFF"/>
              </w:rPr>
            </w:pPr>
            <w:r>
              <w:rPr>
                <w:b/>
                <w:color w:val="FFFFFF"/>
              </w:rPr>
              <w:t>3. Conclusiones y Recomendaciones de la Evaluación</w:t>
            </w:r>
          </w:p>
        </w:tc>
      </w:tr>
      <w:tr w:rsidR="006041CA" w14:paraId="18DA64D1" w14:textId="77777777">
        <w:trPr>
          <w:trHeight w:val="1189"/>
        </w:trPr>
        <w:tc>
          <w:tcPr>
            <w:tcW w:w="996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6D8E6DC4" w14:textId="77777777" w:rsidR="006041CA" w:rsidRDefault="001271CC">
            <w:pPr>
              <w:spacing w:after="120" w:line="360" w:lineRule="auto"/>
              <w:jc w:val="both"/>
              <w:rPr>
                <w:color w:val="000000"/>
              </w:rPr>
            </w:pPr>
            <w:r>
              <w:rPr>
                <w:color w:val="000000"/>
              </w:rPr>
              <w:t>3.1 Describir brevemente las conclusiones de la evaluación: </w:t>
            </w:r>
          </w:p>
          <w:p w14:paraId="0C15E35B" w14:textId="77777777" w:rsidR="006041CA" w:rsidRDefault="001271CC">
            <w:pPr>
              <w:spacing w:after="120" w:line="360" w:lineRule="auto"/>
              <w:jc w:val="both"/>
              <w:rPr>
                <w:color w:val="000000"/>
              </w:rPr>
            </w:pPr>
            <w:r>
              <w:rPr>
                <w:b/>
                <w:color w:val="000000"/>
              </w:rPr>
              <w:t>Resultados</w:t>
            </w:r>
            <w:r>
              <w:rPr>
                <w:color w:val="000000"/>
              </w:rPr>
              <w:br/>
              <w:t>El objetivo del Programa Presupuestario AE01 Educación Básica está alineado con los objetivos de desarrollo estatal y federal, y es consistente con los Componentes de la MIR federal del FONE, los indicadores estratégicos cumplen con los criterios CREMAA y el documento de planeación institucional define claramente las poblaciones potencial, objetivo y atendida, de igual manera se verificó la evaluabilidad de los niveles de desempeño definidos en la MIR.</w:t>
            </w:r>
          </w:p>
          <w:p w14:paraId="3EBFC3F2" w14:textId="77777777" w:rsidR="006041CA" w:rsidRDefault="001271CC">
            <w:pPr>
              <w:spacing w:after="120" w:line="360" w:lineRule="auto"/>
              <w:jc w:val="both"/>
              <w:rPr>
                <w:color w:val="000000"/>
              </w:rPr>
            </w:pPr>
            <w:r>
              <w:rPr>
                <w:b/>
                <w:color w:val="000000"/>
              </w:rPr>
              <w:t>Productos</w:t>
            </w:r>
            <w:r>
              <w:rPr>
                <w:color w:val="000000"/>
              </w:rPr>
              <w:br/>
              <w:t>Aunque los indicadores no evalúan las dimensiones de eficiencia o calidad, se alcanzaron la mayoría de las metas Programadas durante 2021-2023, reflejando un adecuado nivel de gestión y cumplimiento de objetivos. Sin embargo, se identifica como área de mejora la claridad sobre la temporalidad de los datos utilizados para alimentar los indicadores.</w:t>
            </w:r>
          </w:p>
          <w:p w14:paraId="5DCCE2FE" w14:textId="77777777" w:rsidR="006041CA" w:rsidRDefault="001271CC">
            <w:pPr>
              <w:spacing w:after="120" w:line="360" w:lineRule="auto"/>
              <w:jc w:val="both"/>
              <w:rPr>
                <w:color w:val="000000"/>
              </w:rPr>
            </w:pPr>
            <w:r>
              <w:rPr>
                <w:b/>
                <w:color w:val="000000"/>
              </w:rPr>
              <w:t>Presupuesto</w:t>
            </w:r>
            <w:r>
              <w:rPr>
                <w:color w:val="000000"/>
              </w:rPr>
              <w:br/>
              <w:t>Los recursos del FONE se ejercieron conforme a la normatividad, con una tendencia creciente en los recursos modificados y ejercidos, en 2023, se ejecutó el 99.96% del recurso devengado, evidenciando una gestión presupuestaria eficiente.</w:t>
            </w:r>
          </w:p>
          <w:p w14:paraId="182D2070" w14:textId="77777777" w:rsidR="006041CA" w:rsidRDefault="001271CC">
            <w:pPr>
              <w:spacing w:after="120" w:line="360" w:lineRule="auto"/>
              <w:jc w:val="both"/>
              <w:rPr>
                <w:color w:val="000000"/>
              </w:rPr>
            </w:pPr>
            <w:r>
              <w:rPr>
                <w:b/>
                <w:color w:val="000000"/>
              </w:rPr>
              <w:t>Cobertura</w:t>
            </w:r>
            <w:r>
              <w:rPr>
                <w:color w:val="000000"/>
              </w:rPr>
              <w:br/>
              <w:t>La eficiencia de cobertura del Programa alcanzó el 100% en 2023, con una mejora constante desde 2021 (98.21%); el costo promedio por beneficiario en 2023 fue de $26,376.44 pesos, y el costo-efectividad se calificó como "Esperado" con base en los términos de referencia.</w:t>
            </w:r>
          </w:p>
          <w:p w14:paraId="16422D53" w14:textId="77777777" w:rsidR="006041CA" w:rsidRDefault="001271CC">
            <w:pPr>
              <w:spacing w:after="120" w:line="360" w:lineRule="auto"/>
              <w:jc w:val="both"/>
              <w:rPr>
                <w:color w:val="000000"/>
              </w:rPr>
            </w:pPr>
            <w:r>
              <w:rPr>
                <w:b/>
                <w:color w:val="000000"/>
              </w:rPr>
              <w:t>Seguimiento a los Aspectos Susceptibles de Mejora</w:t>
            </w:r>
          </w:p>
          <w:p w14:paraId="03D18B51" w14:textId="77777777" w:rsidR="006041CA" w:rsidRDefault="001271CC">
            <w:pPr>
              <w:spacing w:after="120" w:line="360" w:lineRule="auto"/>
              <w:jc w:val="both"/>
              <w:rPr>
                <w:color w:val="000000"/>
              </w:rPr>
            </w:pPr>
            <w:r>
              <w:rPr>
                <w:color w:val="000000"/>
              </w:rPr>
              <w:t>Se han atendido las recomendaciones del reporte de evaluación 2022 mediante el uso de documentos institucionales que clasifican, aceptan y monitorean los ASM, lo que permite planificar Actividades, asignar responsables y medir el avance en la atención de estas áreas de mejora.</w:t>
            </w:r>
          </w:p>
        </w:tc>
      </w:tr>
      <w:tr w:rsidR="006041CA" w14:paraId="5DC2DA7C" w14:textId="77777777">
        <w:trPr>
          <w:trHeight w:val="3735"/>
        </w:trPr>
        <w:tc>
          <w:tcPr>
            <w:tcW w:w="99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D5A56DB" w14:textId="77777777" w:rsidR="006041CA" w:rsidRDefault="006041CA">
            <w:pPr>
              <w:widowControl w:val="0"/>
              <w:pBdr>
                <w:top w:val="nil"/>
                <w:left w:val="nil"/>
                <w:bottom w:val="nil"/>
                <w:right w:val="nil"/>
                <w:between w:val="nil"/>
              </w:pBdr>
              <w:spacing w:after="0" w:line="276" w:lineRule="auto"/>
              <w:rPr>
                <w:color w:val="000000"/>
              </w:rPr>
            </w:pPr>
          </w:p>
        </w:tc>
      </w:tr>
      <w:tr w:rsidR="006041CA" w14:paraId="428BCBB8" w14:textId="77777777">
        <w:trPr>
          <w:trHeight w:val="34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1744B977" w14:textId="77777777" w:rsidR="006041CA" w:rsidRDefault="001271CC">
            <w:pPr>
              <w:spacing w:after="120" w:line="360" w:lineRule="auto"/>
              <w:rPr>
                <w:color w:val="000000"/>
              </w:rPr>
            </w:pPr>
            <w:r>
              <w:rPr>
                <w:color w:val="000000"/>
              </w:rPr>
              <w:t>3.2 Describir las recomendaciones de acuerdo a su relevancia considerando los ASM:</w:t>
            </w:r>
          </w:p>
        </w:tc>
      </w:tr>
      <w:tr w:rsidR="006041CA" w14:paraId="61157A8A"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0813223F" w14:textId="77777777" w:rsidR="006041CA" w:rsidRDefault="001271CC">
            <w:pPr>
              <w:spacing w:after="120" w:line="360" w:lineRule="auto"/>
              <w:rPr>
                <w:color w:val="000000"/>
              </w:rPr>
            </w:pPr>
            <w:r>
              <w:rPr>
                <w:color w:val="000000"/>
              </w:rPr>
              <w:t xml:space="preserve">1: Revisar la definición de los Medios de Verificación y Fuentes de Información de la MIR del Pp, así como su temporalidad del reporte de dicha información, con el objeto de asegurar la coherencia </w:t>
            </w:r>
            <w:r>
              <w:t>pertinencia y oportunidad de la información recopilada para medir los avances y resultados del programa, garantizando que los datos reportados sean confiables, verificables y alineados con los indicadores establecidos</w:t>
            </w:r>
            <w:r>
              <w:rPr>
                <w:color w:val="000000"/>
              </w:rPr>
              <w:t xml:space="preserve"> </w:t>
            </w:r>
          </w:p>
        </w:tc>
      </w:tr>
      <w:tr w:rsidR="006041CA" w14:paraId="0E5B5479"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100AEE0E" w14:textId="77777777" w:rsidR="006041CA" w:rsidRDefault="001271CC">
            <w:pPr>
              <w:spacing w:after="120" w:line="360" w:lineRule="auto"/>
              <w:rPr>
                <w:color w:val="000000"/>
              </w:rPr>
            </w:pPr>
            <w:r>
              <w:rPr>
                <w:color w:val="000000"/>
              </w:rPr>
              <w:t>2: Definir un indicador que mida la dimensión de Eficacia y Calidad a nivel de Componente, con el objeto de evaluar el grado</w:t>
            </w:r>
            <w:r>
              <w:rPr>
                <w:color w:val="000000"/>
                <w:highlight w:val="yellow"/>
              </w:rPr>
              <w:t xml:space="preserve"> </w:t>
            </w:r>
            <w:r>
              <w:rPr>
                <w:highlight w:val="yellow"/>
              </w:rPr>
              <w:t xml:space="preserve">de </w:t>
            </w:r>
            <w:r>
              <w:t>cumplimiento</w:t>
            </w:r>
            <w:r>
              <w:rPr>
                <w:color w:val="000000"/>
              </w:rPr>
              <w:t xml:space="preserve"> del objetivo y la oportunidad con la que se entregan los servicios educativos.</w:t>
            </w:r>
          </w:p>
        </w:tc>
      </w:tr>
      <w:tr w:rsidR="006041CA" w14:paraId="68CCFBCD"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6C0C4C"/>
            <w:vAlign w:val="center"/>
          </w:tcPr>
          <w:p w14:paraId="60C46113" w14:textId="77777777" w:rsidR="006041CA" w:rsidRDefault="001271CC">
            <w:pPr>
              <w:spacing w:after="120" w:line="360" w:lineRule="auto"/>
              <w:jc w:val="center"/>
              <w:rPr>
                <w:b/>
                <w:color w:val="FFFFFF"/>
              </w:rPr>
            </w:pPr>
            <w:r>
              <w:rPr>
                <w:b/>
                <w:color w:val="FFFFFF"/>
              </w:rPr>
              <w:t>4. Datos de la Instancia evaluadora</w:t>
            </w:r>
          </w:p>
        </w:tc>
      </w:tr>
      <w:tr w:rsidR="006041CA" w14:paraId="5AC6A773"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1AE4E8E0" w14:textId="77777777" w:rsidR="006041CA" w:rsidRDefault="001271CC">
            <w:pPr>
              <w:spacing w:after="120" w:line="360" w:lineRule="auto"/>
              <w:rPr>
                <w:color w:val="000000"/>
              </w:rPr>
            </w:pPr>
            <w:r>
              <w:rPr>
                <w:color w:val="000000"/>
              </w:rPr>
              <w:t>4.1 Nombre del coordinador de la evaluación: Dra. Luz Elvia Rascón Manquero</w:t>
            </w:r>
          </w:p>
        </w:tc>
      </w:tr>
      <w:tr w:rsidR="006041CA" w14:paraId="7600ED38"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1212CAF6" w14:textId="77777777" w:rsidR="006041CA" w:rsidRDefault="001271CC">
            <w:pPr>
              <w:spacing w:after="120" w:line="360" w:lineRule="auto"/>
              <w:rPr>
                <w:color w:val="000000"/>
              </w:rPr>
            </w:pPr>
            <w:r>
              <w:rPr>
                <w:color w:val="000000"/>
              </w:rPr>
              <w:t>4.2 Cargo: Directora de Gasto Público PbR y SED</w:t>
            </w:r>
          </w:p>
        </w:tc>
      </w:tr>
      <w:tr w:rsidR="006041CA" w14:paraId="4863AABE"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1C9983D8" w14:textId="77777777" w:rsidR="006041CA" w:rsidRDefault="001271CC">
            <w:pPr>
              <w:spacing w:after="120" w:line="360" w:lineRule="auto"/>
              <w:rPr>
                <w:color w:val="000000"/>
              </w:rPr>
            </w:pPr>
            <w:r>
              <w:rPr>
                <w:color w:val="000000"/>
              </w:rPr>
              <w:t>4.3 Institución a la que pertenece: Instituto para el Desarrollo Técnico de las Haciendas Públicas INDETEC</w:t>
            </w:r>
          </w:p>
        </w:tc>
      </w:tr>
      <w:tr w:rsidR="006041CA" w14:paraId="5CF6CA42"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329A1A7C" w14:textId="77777777" w:rsidR="006041CA" w:rsidRDefault="001271CC">
            <w:pPr>
              <w:spacing w:after="120" w:line="360" w:lineRule="auto"/>
              <w:rPr>
                <w:color w:val="000000"/>
              </w:rPr>
            </w:pPr>
            <w:r>
              <w:rPr>
                <w:color w:val="000000"/>
              </w:rPr>
              <w:t>4.4 Principales colaboradores: Mtro. Camilo Roberto García Carmona</w:t>
            </w:r>
          </w:p>
        </w:tc>
      </w:tr>
      <w:tr w:rsidR="006041CA" w14:paraId="38FECB20" w14:textId="77777777">
        <w:trPr>
          <w:trHeight w:val="600"/>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02BA1D32" w14:textId="77777777" w:rsidR="006041CA" w:rsidRDefault="001271CC">
            <w:pPr>
              <w:spacing w:after="120" w:line="360" w:lineRule="auto"/>
              <w:rPr>
                <w:color w:val="000000"/>
              </w:rPr>
            </w:pPr>
            <w:r>
              <w:rPr>
                <w:color w:val="000000"/>
              </w:rPr>
              <w:t>4.5 Correo electrónico del coordinador de la evaluación: lrasconm@indetec.gob.mx</w:t>
            </w:r>
          </w:p>
        </w:tc>
      </w:tr>
      <w:tr w:rsidR="006041CA" w14:paraId="5E7F4296"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21C35ACE" w14:textId="77777777" w:rsidR="006041CA" w:rsidRDefault="001271CC">
            <w:pPr>
              <w:spacing w:after="120" w:line="360" w:lineRule="auto"/>
              <w:rPr>
                <w:color w:val="000000"/>
              </w:rPr>
            </w:pPr>
            <w:r>
              <w:rPr>
                <w:color w:val="000000"/>
              </w:rPr>
              <w:t>4.6 Teléfono (con clave lada):  333659-5550 Ext. 600</w:t>
            </w:r>
          </w:p>
        </w:tc>
      </w:tr>
      <w:tr w:rsidR="006041CA" w14:paraId="1C8CBC34"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6C0C4C"/>
            <w:vAlign w:val="center"/>
          </w:tcPr>
          <w:p w14:paraId="532A65B5" w14:textId="77777777" w:rsidR="006041CA" w:rsidRDefault="001271CC">
            <w:pPr>
              <w:spacing w:after="120" w:line="360" w:lineRule="auto"/>
              <w:jc w:val="center"/>
              <w:rPr>
                <w:b/>
                <w:color w:val="FFFFFF"/>
              </w:rPr>
            </w:pPr>
            <w:r>
              <w:rPr>
                <w:b/>
                <w:color w:val="FFFFFF"/>
              </w:rPr>
              <w:t>5. Identificación del (los) Programa(s) </w:t>
            </w:r>
          </w:p>
        </w:tc>
      </w:tr>
      <w:tr w:rsidR="006041CA" w14:paraId="1443EA87"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5E1CDC7F" w14:textId="77777777" w:rsidR="006041CA" w:rsidRDefault="001271CC">
            <w:pPr>
              <w:spacing w:after="120" w:line="360" w:lineRule="auto"/>
              <w:rPr>
                <w:color w:val="000000"/>
              </w:rPr>
            </w:pPr>
            <w:r>
              <w:rPr>
                <w:color w:val="000000"/>
              </w:rPr>
              <w:t>5.1 Nombre del (los) Programa(s) evaluado(s): AE01 Educación Básica</w:t>
            </w:r>
          </w:p>
        </w:tc>
      </w:tr>
      <w:tr w:rsidR="006041CA" w14:paraId="7C747081"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0C88F039" w14:textId="77777777" w:rsidR="006041CA" w:rsidRDefault="001271CC">
            <w:pPr>
              <w:spacing w:after="120" w:line="360" w:lineRule="auto"/>
              <w:rPr>
                <w:color w:val="000000"/>
              </w:rPr>
            </w:pPr>
            <w:r>
              <w:rPr>
                <w:color w:val="000000"/>
              </w:rPr>
              <w:t>5.2 Siglas: No Aplica</w:t>
            </w:r>
          </w:p>
        </w:tc>
      </w:tr>
      <w:tr w:rsidR="006041CA" w14:paraId="7D2F9575"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1A0CEEBD" w14:textId="77777777" w:rsidR="006041CA" w:rsidRDefault="001271CC">
            <w:pPr>
              <w:spacing w:after="120" w:line="360" w:lineRule="auto"/>
              <w:rPr>
                <w:color w:val="000000"/>
              </w:rPr>
            </w:pPr>
            <w:r>
              <w:rPr>
                <w:color w:val="000000"/>
              </w:rPr>
              <w:t>5.3 Ente público coordinador del (los) Programa(s): Secretaría de Educación del Estado de Michoacán</w:t>
            </w:r>
          </w:p>
        </w:tc>
      </w:tr>
      <w:tr w:rsidR="006041CA" w14:paraId="14D7AA67" w14:textId="77777777">
        <w:trPr>
          <w:trHeight w:val="600"/>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2585B0AD" w14:textId="77777777" w:rsidR="006041CA" w:rsidRDefault="001271CC">
            <w:pPr>
              <w:spacing w:after="120" w:line="360" w:lineRule="auto"/>
              <w:rPr>
                <w:color w:val="000000"/>
              </w:rPr>
            </w:pPr>
            <w:r>
              <w:rPr>
                <w:color w:val="000000"/>
              </w:rPr>
              <w:t>5.4 Poder público al que pertenece(n) el(los) Programa(s):</w:t>
            </w:r>
          </w:p>
        </w:tc>
      </w:tr>
      <w:tr w:rsidR="006041CA" w14:paraId="0D4716FF" w14:textId="77777777">
        <w:trPr>
          <w:trHeight w:val="600"/>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30B0E4D2" w14:textId="77777777" w:rsidR="006041CA" w:rsidRDefault="001271CC">
            <w:pPr>
              <w:spacing w:after="120" w:line="360" w:lineRule="auto"/>
              <w:rPr>
                <w:color w:val="000000"/>
              </w:rPr>
            </w:pPr>
            <w:r>
              <w:rPr>
                <w:color w:val="000000"/>
              </w:rPr>
              <w:t xml:space="preserve">Poder Ejecutivo </w:t>
            </w:r>
            <w:r>
              <w:rPr>
                <w:b/>
                <w:color w:val="000000"/>
              </w:rPr>
              <w:t>X</w:t>
            </w:r>
            <w:r>
              <w:rPr>
                <w:color w:val="000000"/>
              </w:rPr>
              <w:t xml:space="preserve"> Poder Legislativo___ Poder Judicial___ Ente Autónomo___</w:t>
            </w:r>
          </w:p>
        </w:tc>
      </w:tr>
      <w:tr w:rsidR="006041CA" w14:paraId="5DE74BDE" w14:textId="77777777">
        <w:trPr>
          <w:trHeight w:val="600"/>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B49EBC8" w14:textId="77777777" w:rsidR="006041CA" w:rsidRDefault="001271CC">
            <w:pPr>
              <w:spacing w:after="120" w:line="360" w:lineRule="auto"/>
              <w:rPr>
                <w:color w:val="000000"/>
              </w:rPr>
            </w:pPr>
            <w:r>
              <w:rPr>
                <w:color w:val="000000"/>
              </w:rPr>
              <w:t>5.5 Ámbito gubernamental al que pertenece(n) el(los) Programa(s):</w:t>
            </w:r>
          </w:p>
        </w:tc>
      </w:tr>
      <w:tr w:rsidR="006041CA" w14:paraId="497AA5F9"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0D56795D" w14:textId="77777777" w:rsidR="006041CA" w:rsidRDefault="001271CC">
            <w:pPr>
              <w:spacing w:after="120" w:line="360" w:lineRule="auto"/>
              <w:rPr>
                <w:color w:val="000000"/>
              </w:rPr>
            </w:pPr>
            <w:r>
              <w:rPr>
                <w:color w:val="000000"/>
              </w:rPr>
              <w:t xml:space="preserve">Federal___ Estatal </w:t>
            </w:r>
            <w:r>
              <w:rPr>
                <w:b/>
                <w:color w:val="000000"/>
              </w:rPr>
              <w:t>X</w:t>
            </w:r>
            <w:r>
              <w:rPr>
                <w:color w:val="000000"/>
              </w:rPr>
              <w:t xml:space="preserve"> Local___</w:t>
            </w:r>
          </w:p>
        </w:tc>
      </w:tr>
      <w:tr w:rsidR="006041CA" w14:paraId="46D24278" w14:textId="77777777">
        <w:trPr>
          <w:trHeight w:val="600"/>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00"/>
            <w:vAlign w:val="center"/>
          </w:tcPr>
          <w:p w14:paraId="013E1C59" w14:textId="77777777" w:rsidR="006041CA" w:rsidRDefault="001271CC">
            <w:pPr>
              <w:spacing w:after="120" w:line="360" w:lineRule="auto"/>
              <w:rPr>
                <w:color w:val="000000"/>
              </w:rPr>
            </w:pPr>
            <w:r>
              <w:rPr>
                <w:color w:val="000000"/>
              </w:rPr>
              <w:t xml:space="preserve">5.6 Nombre de la(s) unidad(es) administrativa(s) y de (los) titular(es) a cargo del (los) Programa(s): </w:t>
            </w:r>
          </w:p>
        </w:tc>
      </w:tr>
      <w:tr w:rsidR="006041CA" w14:paraId="1F879264" w14:textId="77777777">
        <w:trPr>
          <w:trHeight w:val="600"/>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00"/>
            <w:vAlign w:val="center"/>
          </w:tcPr>
          <w:p w14:paraId="0B4CE205" w14:textId="77777777" w:rsidR="006041CA" w:rsidRDefault="001271CC">
            <w:pPr>
              <w:spacing w:after="120" w:line="360" w:lineRule="auto"/>
              <w:rPr>
                <w:color w:val="000000"/>
              </w:rPr>
            </w:pPr>
            <w:r>
              <w:rPr>
                <w:color w:val="000000"/>
              </w:rPr>
              <w:t xml:space="preserve">5.6.1 Nombre(s) de la(s) unidad(es) administrativa(s) a cargo de (los) Programa(s): </w:t>
            </w:r>
          </w:p>
        </w:tc>
      </w:tr>
      <w:tr w:rsidR="006041CA" w14:paraId="573BFC53" w14:textId="77777777">
        <w:trPr>
          <w:trHeight w:val="1200"/>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00"/>
            <w:vAlign w:val="center"/>
          </w:tcPr>
          <w:p w14:paraId="2F07BF20" w14:textId="1C0675B6" w:rsidR="00B85546" w:rsidRPr="00FF5928" w:rsidRDefault="001271CC" w:rsidP="00FF5928">
            <w:pPr>
              <w:spacing w:after="120" w:line="360" w:lineRule="auto"/>
              <w:rPr>
                <w:highlight w:val="red"/>
              </w:rPr>
            </w:pPr>
            <w:r>
              <w:rPr>
                <w:color w:val="000000"/>
              </w:rPr>
              <w:t>5.6.2 Nombre(s) de (los) titular(es) de la(s) unidad(es) administrativa(s) a cargo de (los) Programa(s) (nombre completo</w:t>
            </w:r>
            <w:r w:rsidRPr="00FF5928">
              <w:rPr>
                <w:color w:val="000000"/>
                <w:highlight w:val="yellow"/>
              </w:rPr>
              <w:t>, </w:t>
            </w:r>
            <w:r w:rsidRPr="00FF5928">
              <w:rPr>
                <w:highlight w:val="yellow"/>
              </w:rPr>
              <w:t>correo electrónico y teléfono con clave lada):</w:t>
            </w:r>
          </w:p>
        </w:tc>
      </w:tr>
      <w:tr w:rsidR="006041CA" w14:paraId="5D52E3CB" w14:textId="77777777">
        <w:trPr>
          <w:trHeight w:val="315"/>
        </w:trPr>
        <w:tc>
          <w:tcPr>
            <w:tcW w:w="5237" w:type="dxa"/>
            <w:tcBorders>
              <w:top w:val="nil"/>
              <w:left w:val="single" w:sz="8" w:space="0" w:color="000000"/>
              <w:bottom w:val="single" w:sz="8" w:space="0" w:color="000000"/>
              <w:right w:val="single" w:sz="8" w:space="0" w:color="000000"/>
            </w:tcBorders>
            <w:shd w:val="clear" w:color="auto" w:fill="FFFF00"/>
            <w:vAlign w:val="center"/>
          </w:tcPr>
          <w:p w14:paraId="01710B06" w14:textId="5EEACA61" w:rsidR="006041CA" w:rsidRDefault="001271CC" w:rsidP="00FF5928">
            <w:pPr>
              <w:spacing w:after="120" w:line="360" w:lineRule="auto"/>
            </w:pPr>
            <w:r>
              <w:rPr>
                <w:color w:val="000000"/>
              </w:rPr>
              <w:t xml:space="preserve">Nombre: </w:t>
            </w:r>
          </w:p>
        </w:tc>
        <w:tc>
          <w:tcPr>
            <w:tcW w:w="4725" w:type="dxa"/>
            <w:tcBorders>
              <w:top w:val="single" w:sz="8" w:space="0" w:color="000000"/>
              <w:left w:val="nil"/>
              <w:bottom w:val="single" w:sz="8" w:space="0" w:color="000000"/>
              <w:right w:val="single" w:sz="8" w:space="0" w:color="000000"/>
            </w:tcBorders>
            <w:shd w:val="clear" w:color="auto" w:fill="FFFF00"/>
            <w:vAlign w:val="center"/>
          </w:tcPr>
          <w:p w14:paraId="4056CF13" w14:textId="7062DEB3" w:rsidR="006041CA" w:rsidRDefault="001271CC" w:rsidP="00FF5928">
            <w:pPr>
              <w:spacing w:after="120" w:line="360" w:lineRule="auto"/>
            </w:pPr>
            <w:r>
              <w:rPr>
                <w:color w:val="000000"/>
              </w:rPr>
              <w:t xml:space="preserve">Unidad administrativa: </w:t>
            </w:r>
            <w:r>
              <w:t> </w:t>
            </w:r>
            <w:r>
              <w:rPr>
                <w:sz w:val="17"/>
                <w:szCs w:val="17"/>
                <w:highlight w:val="yellow"/>
              </w:rPr>
              <w:t xml:space="preserve"> </w:t>
            </w:r>
          </w:p>
        </w:tc>
      </w:tr>
      <w:tr w:rsidR="00FF5928" w14:paraId="1C7875AD" w14:textId="77777777">
        <w:trPr>
          <w:trHeight w:val="315"/>
        </w:trPr>
        <w:tc>
          <w:tcPr>
            <w:tcW w:w="5237" w:type="dxa"/>
            <w:tcBorders>
              <w:top w:val="nil"/>
              <w:left w:val="single" w:sz="8" w:space="0" w:color="000000"/>
              <w:bottom w:val="single" w:sz="8" w:space="0" w:color="000000"/>
              <w:right w:val="single" w:sz="8" w:space="0" w:color="000000"/>
            </w:tcBorders>
            <w:shd w:val="clear" w:color="auto" w:fill="FFFF00"/>
            <w:vAlign w:val="center"/>
          </w:tcPr>
          <w:p w14:paraId="14A1875E" w14:textId="3B40ADF4" w:rsidR="00FF5928" w:rsidRDefault="00FF5928">
            <w:pPr>
              <w:spacing w:after="120" w:line="360" w:lineRule="auto"/>
              <w:rPr>
                <w:color w:val="000000"/>
              </w:rPr>
            </w:pPr>
            <w:r w:rsidRPr="00B85546">
              <w:rPr>
                <w:color w:val="000000"/>
              </w:rPr>
              <w:t>C. Leticia María Antonieta Sánchez Farfán</w:t>
            </w:r>
          </w:p>
        </w:tc>
        <w:tc>
          <w:tcPr>
            <w:tcW w:w="4725" w:type="dxa"/>
            <w:tcBorders>
              <w:top w:val="single" w:sz="8" w:space="0" w:color="000000"/>
              <w:left w:val="nil"/>
              <w:bottom w:val="single" w:sz="8" w:space="0" w:color="000000"/>
              <w:right w:val="single" w:sz="8" w:space="0" w:color="000000"/>
            </w:tcBorders>
            <w:shd w:val="clear" w:color="auto" w:fill="FFFF00"/>
            <w:vAlign w:val="center"/>
          </w:tcPr>
          <w:p w14:paraId="72F22490" w14:textId="77777777" w:rsidR="00FF5928" w:rsidRDefault="00FF5928">
            <w:pPr>
              <w:spacing w:after="120" w:line="360" w:lineRule="auto"/>
              <w:rPr>
                <w:color w:val="000000"/>
              </w:rPr>
            </w:pPr>
            <w:r w:rsidRPr="00B85546">
              <w:rPr>
                <w:color w:val="000000"/>
              </w:rPr>
              <w:t>Dirección de Educación Elemental</w:t>
            </w:r>
          </w:p>
          <w:p w14:paraId="13D2E3C3" w14:textId="629C4EB7" w:rsidR="00FF5928" w:rsidRDefault="00FF5928">
            <w:pPr>
              <w:spacing w:after="120" w:line="360" w:lineRule="auto"/>
              <w:rPr>
                <w:color w:val="000000"/>
              </w:rPr>
            </w:pPr>
            <w:r>
              <w:rPr>
                <w:color w:val="000000"/>
              </w:rPr>
              <w:t xml:space="preserve">Tel. </w:t>
            </w:r>
            <w:r w:rsidRPr="00B85546">
              <w:rPr>
                <w:color w:val="000000"/>
              </w:rPr>
              <w:t>(443) 298-15-38</w:t>
            </w:r>
          </w:p>
        </w:tc>
      </w:tr>
      <w:tr w:rsidR="00FF5928" w14:paraId="3A1EB8F8" w14:textId="77777777">
        <w:trPr>
          <w:trHeight w:val="315"/>
        </w:trPr>
        <w:tc>
          <w:tcPr>
            <w:tcW w:w="5237" w:type="dxa"/>
            <w:tcBorders>
              <w:top w:val="nil"/>
              <w:left w:val="single" w:sz="8" w:space="0" w:color="000000"/>
              <w:bottom w:val="single" w:sz="8" w:space="0" w:color="000000"/>
              <w:right w:val="single" w:sz="8" w:space="0" w:color="000000"/>
            </w:tcBorders>
            <w:shd w:val="clear" w:color="auto" w:fill="FFFF00"/>
            <w:vAlign w:val="center"/>
          </w:tcPr>
          <w:p w14:paraId="10A43E94" w14:textId="26204049" w:rsidR="00FF5928" w:rsidRDefault="00FF5928">
            <w:pPr>
              <w:spacing w:after="120" w:line="360" w:lineRule="auto"/>
              <w:rPr>
                <w:color w:val="000000"/>
              </w:rPr>
            </w:pPr>
            <w:r w:rsidRPr="00B85546">
              <w:rPr>
                <w:color w:val="000000"/>
              </w:rPr>
              <w:t>L.P.E. María del Carmen Escobedo Pérez</w:t>
            </w:r>
            <w:r w:rsidRPr="00B85546">
              <w:rPr>
                <w:color w:val="000000"/>
              </w:rPr>
              <w:tab/>
            </w:r>
          </w:p>
        </w:tc>
        <w:tc>
          <w:tcPr>
            <w:tcW w:w="4725" w:type="dxa"/>
            <w:tcBorders>
              <w:top w:val="single" w:sz="8" w:space="0" w:color="000000"/>
              <w:left w:val="nil"/>
              <w:bottom w:val="single" w:sz="8" w:space="0" w:color="000000"/>
              <w:right w:val="single" w:sz="8" w:space="0" w:color="000000"/>
            </w:tcBorders>
            <w:shd w:val="clear" w:color="auto" w:fill="FFFF00"/>
            <w:vAlign w:val="center"/>
          </w:tcPr>
          <w:p w14:paraId="33BEBFB9" w14:textId="77777777" w:rsidR="00FF5928" w:rsidRDefault="00FF5928">
            <w:pPr>
              <w:spacing w:after="120" w:line="360" w:lineRule="auto"/>
              <w:rPr>
                <w:color w:val="000000"/>
              </w:rPr>
            </w:pPr>
            <w:r>
              <w:rPr>
                <w:color w:val="000000"/>
              </w:rPr>
              <w:t>S</w:t>
            </w:r>
            <w:r w:rsidRPr="00B85546">
              <w:rPr>
                <w:color w:val="000000"/>
              </w:rPr>
              <w:t xml:space="preserve">ubsecretaría de Educación Básica </w:t>
            </w:r>
          </w:p>
          <w:p w14:paraId="08016F7D" w14:textId="612EE081" w:rsidR="00FF5928" w:rsidRDefault="00FF5928">
            <w:pPr>
              <w:spacing w:after="120" w:line="360" w:lineRule="auto"/>
              <w:rPr>
                <w:color w:val="000000"/>
              </w:rPr>
            </w:pPr>
            <w:r>
              <w:rPr>
                <w:color w:val="000000"/>
              </w:rPr>
              <w:t xml:space="preserve">Tel. </w:t>
            </w:r>
            <w:r w:rsidRPr="00B85546">
              <w:rPr>
                <w:color w:val="000000"/>
              </w:rPr>
              <w:t>(443) 299-63-13</w:t>
            </w:r>
          </w:p>
        </w:tc>
      </w:tr>
      <w:tr w:rsidR="00FF5928" w14:paraId="173BC1FC" w14:textId="77777777">
        <w:trPr>
          <w:trHeight w:val="315"/>
        </w:trPr>
        <w:tc>
          <w:tcPr>
            <w:tcW w:w="5237" w:type="dxa"/>
            <w:tcBorders>
              <w:top w:val="nil"/>
              <w:left w:val="single" w:sz="8" w:space="0" w:color="000000"/>
              <w:bottom w:val="single" w:sz="8" w:space="0" w:color="000000"/>
              <w:right w:val="single" w:sz="8" w:space="0" w:color="000000"/>
            </w:tcBorders>
            <w:shd w:val="clear" w:color="auto" w:fill="FFFF00"/>
            <w:vAlign w:val="center"/>
          </w:tcPr>
          <w:p w14:paraId="30A4E7DD" w14:textId="037E0B50" w:rsidR="00FF5928" w:rsidRDefault="00FF5928" w:rsidP="00FF5928">
            <w:pPr>
              <w:spacing w:after="120" w:line="360" w:lineRule="auto"/>
            </w:pPr>
            <w:r w:rsidRPr="00B85546">
              <w:t xml:space="preserve"> </w:t>
            </w:r>
          </w:p>
          <w:p w14:paraId="12EB48B2" w14:textId="77777777" w:rsidR="00FF5928" w:rsidRPr="00341417" w:rsidRDefault="00FF5928">
            <w:pPr>
              <w:spacing w:after="120" w:line="360" w:lineRule="auto"/>
            </w:pPr>
          </w:p>
        </w:tc>
        <w:tc>
          <w:tcPr>
            <w:tcW w:w="4725" w:type="dxa"/>
            <w:tcBorders>
              <w:top w:val="single" w:sz="8" w:space="0" w:color="000000"/>
              <w:left w:val="nil"/>
              <w:bottom w:val="single" w:sz="8" w:space="0" w:color="000000"/>
              <w:right w:val="single" w:sz="8" w:space="0" w:color="000000"/>
            </w:tcBorders>
            <w:shd w:val="clear" w:color="auto" w:fill="FFFF00"/>
            <w:vAlign w:val="center"/>
          </w:tcPr>
          <w:p w14:paraId="20F8EA6F" w14:textId="77777777" w:rsidR="00FF5928" w:rsidRDefault="00FF5928">
            <w:pPr>
              <w:spacing w:after="120" w:line="360" w:lineRule="auto"/>
            </w:pPr>
            <w:r w:rsidRPr="00FF5928">
              <w:rPr>
                <w:rStyle w:val="Hipervnculo"/>
                <w:color w:val="auto"/>
                <w:u w:val="none"/>
              </w:rPr>
              <w:t>Dirección de Educación Primaria</w:t>
            </w:r>
            <w:r w:rsidRPr="00B85546">
              <w:t xml:space="preserve">           </w:t>
            </w:r>
          </w:p>
          <w:p w14:paraId="67508644" w14:textId="0FF34A82" w:rsidR="00FF5928" w:rsidRPr="00341417" w:rsidRDefault="00FF5928">
            <w:pPr>
              <w:spacing w:after="120" w:line="360" w:lineRule="auto"/>
            </w:pPr>
            <w:r>
              <w:t xml:space="preserve">Tel. </w:t>
            </w:r>
            <w:r w:rsidRPr="00B85546">
              <w:t>(443) 327-89-49</w:t>
            </w:r>
          </w:p>
        </w:tc>
      </w:tr>
      <w:tr w:rsidR="00FF5928" w14:paraId="05F9254C" w14:textId="77777777">
        <w:trPr>
          <w:trHeight w:val="315"/>
        </w:trPr>
        <w:tc>
          <w:tcPr>
            <w:tcW w:w="5237" w:type="dxa"/>
            <w:tcBorders>
              <w:top w:val="nil"/>
              <w:left w:val="single" w:sz="8" w:space="0" w:color="000000"/>
              <w:bottom w:val="single" w:sz="8" w:space="0" w:color="000000"/>
              <w:right w:val="single" w:sz="8" w:space="0" w:color="000000"/>
            </w:tcBorders>
            <w:shd w:val="clear" w:color="auto" w:fill="FFFF00"/>
            <w:vAlign w:val="center"/>
          </w:tcPr>
          <w:p w14:paraId="69E014E7" w14:textId="07188A26" w:rsidR="00FF5928" w:rsidRDefault="00FF5928">
            <w:pPr>
              <w:spacing w:after="120" w:line="360" w:lineRule="auto"/>
              <w:rPr>
                <w:color w:val="000000"/>
              </w:rPr>
            </w:pPr>
            <w:r w:rsidRPr="00341417">
              <w:t>Mtra. María Judith Diéguez González</w:t>
            </w:r>
          </w:p>
        </w:tc>
        <w:tc>
          <w:tcPr>
            <w:tcW w:w="4725" w:type="dxa"/>
            <w:tcBorders>
              <w:top w:val="single" w:sz="8" w:space="0" w:color="000000"/>
              <w:left w:val="nil"/>
              <w:bottom w:val="single" w:sz="8" w:space="0" w:color="000000"/>
              <w:right w:val="single" w:sz="8" w:space="0" w:color="000000"/>
            </w:tcBorders>
            <w:shd w:val="clear" w:color="auto" w:fill="FFFF00"/>
            <w:vAlign w:val="center"/>
          </w:tcPr>
          <w:p w14:paraId="5789F907" w14:textId="77777777" w:rsidR="00FF5928" w:rsidRDefault="00FF5928">
            <w:pPr>
              <w:spacing w:after="120" w:line="360" w:lineRule="auto"/>
            </w:pPr>
            <w:r w:rsidRPr="00341417">
              <w:t>Dirección de Educación Secundaria</w:t>
            </w:r>
          </w:p>
          <w:p w14:paraId="548ED11D" w14:textId="3EDE842F" w:rsidR="00FF5928" w:rsidRPr="00FF5928" w:rsidRDefault="00FF5928">
            <w:pPr>
              <w:spacing w:after="120" w:line="360" w:lineRule="auto"/>
            </w:pPr>
            <w:r>
              <w:t xml:space="preserve">Tel. </w:t>
            </w:r>
            <w:r w:rsidRPr="00341417">
              <w:t>(443) 299-64-57</w:t>
            </w:r>
          </w:p>
        </w:tc>
      </w:tr>
      <w:tr w:rsidR="00FF5928" w14:paraId="7DAB6B11" w14:textId="77777777">
        <w:trPr>
          <w:trHeight w:val="315"/>
        </w:trPr>
        <w:tc>
          <w:tcPr>
            <w:tcW w:w="5237" w:type="dxa"/>
            <w:tcBorders>
              <w:top w:val="nil"/>
              <w:left w:val="single" w:sz="8" w:space="0" w:color="000000"/>
              <w:bottom w:val="single" w:sz="8" w:space="0" w:color="000000"/>
              <w:right w:val="single" w:sz="8" w:space="0" w:color="000000"/>
            </w:tcBorders>
            <w:shd w:val="clear" w:color="auto" w:fill="FFFF00"/>
            <w:vAlign w:val="center"/>
          </w:tcPr>
          <w:p w14:paraId="41EA35DC" w14:textId="19B72719" w:rsidR="00FF5928" w:rsidRDefault="00FF5928">
            <w:pPr>
              <w:spacing w:after="120" w:line="360" w:lineRule="auto"/>
              <w:rPr>
                <w:color w:val="000000"/>
              </w:rPr>
            </w:pPr>
            <w:r w:rsidRPr="00341417">
              <w:rPr>
                <w:color w:val="000000"/>
              </w:rPr>
              <w:t>Mtro. Lázaro Márquez Joaquín</w:t>
            </w:r>
          </w:p>
        </w:tc>
        <w:tc>
          <w:tcPr>
            <w:tcW w:w="4725" w:type="dxa"/>
            <w:tcBorders>
              <w:top w:val="single" w:sz="8" w:space="0" w:color="000000"/>
              <w:left w:val="nil"/>
              <w:bottom w:val="single" w:sz="8" w:space="0" w:color="000000"/>
              <w:right w:val="single" w:sz="8" w:space="0" w:color="000000"/>
            </w:tcBorders>
            <w:shd w:val="clear" w:color="auto" w:fill="FFFF00"/>
            <w:vAlign w:val="center"/>
          </w:tcPr>
          <w:p w14:paraId="759AEF2B" w14:textId="77777777" w:rsidR="00FF5928" w:rsidRDefault="00FF5928">
            <w:pPr>
              <w:spacing w:after="120" w:line="360" w:lineRule="auto"/>
              <w:rPr>
                <w:color w:val="000000"/>
              </w:rPr>
            </w:pPr>
            <w:r w:rsidRPr="00341417">
              <w:rPr>
                <w:color w:val="000000"/>
              </w:rPr>
              <w:t>Dirección General de Educación Indígena</w:t>
            </w:r>
          </w:p>
          <w:p w14:paraId="5121183B" w14:textId="671A9811" w:rsidR="00FF5928" w:rsidRDefault="00FF5928">
            <w:pPr>
              <w:spacing w:after="120" w:line="360" w:lineRule="auto"/>
              <w:rPr>
                <w:color w:val="000000"/>
              </w:rPr>
            </w:pPr>
            <w:r>
              <w:rPr>
                <w:color w:val="000000"/>
              </w:rPr>
              <w:t xml:space="preserve">Tel. </w:t>
            </w:r>
            <w:r w:rsidRPr="00341417">
              <w:rPr>
                <w:color w:val="000000"/>
              </w:rPr>
              <w:t>(443) 322-01-00</w:t>
            </w:r>
          </w:p>
        </w:tc>
      </w:tr>
      <w:tr w:rsidR="006041CA" w14:paraId="3B2373E6"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6C0C4C"/>
            <w:vAlign w:val="center"/>
          </w:tcPr>
          <w:p w14:paraId="4FF9BF0F" w14:textId="77777777" w:rsidR="006041CA" w:rsidRDefault="001271CC">
            <w:pPr>
              <w:spacing w:after="120" w:line="360" w:lineRule="auto"/>
              <w:jc w:val="center"/>
              <w:rPr>
                <w:b/>
                <w:color w:val="FFFFFF"/>
              </w:rPr>
            </w:pPr>
            <w:r>
              <w:rPr>
                <w:b/>
                <w:color w:val="FFFFFF"/>
              </w:rPr>
              <w:t>6. Datos de Contratación de la Evaluación</w:t>
            </w:r>
          </w:p>
        </w:tc>
      </w:tr>
      <w:tr w:rsidR="006041CA" w14:paraId="65DB7138"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A22030A" w14:textId="77777777" w:rsidR="006041CA" w:rsidRDefault="001271CC">
            <w:pPr>
              <w:spacing w:after="120" w:line="360" w:lineRule="auto"/>
              <w:rPr>
                <w:color w:val="000000"/>
              </w:rPr>
            </w:pPr>
            <w:r>
              <w:rPr>
                <w:color w:val="000000"/>
              </w:rPr>
              <w:t>6.1 Tipo de contratación:</w:t>
            </w:r>
          </w:p>
        </w:tc>
      </w:tr>
      <w:tr w:rsidR="006041CA" w14:paraId="440B17FE" w14:textId="77777777">
        <w:trPr>
          <w:trHeight w:val="1200"/>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E936256" w14:textId="77777777" w:rsidR="006041CA" w:rsidRDefault="001271CC">
            <w:pPr>
              <w:spacing w:after="120" w:line="360" w:lineRule="auto"/>
              <w:rPr>
                <w:color w:val="000000"/>
              </w:rPr>
            </w:pPr>
            <w:bookmarkStart w:id="14" w:name="_heading=h.lnxbz9" w:colFirst="0" w:colLast="0"/>
            <w:bookmarkEnd w:id="14"/>
            <w:r>
              <w:rPr>
                <w:color w:val="000000"/>
              </w:rPr>
              <w:t>6.1.1 Adjudicación Directa__x_ 6.1.2 Invitación a tres___ 6.1.3 Licitación Pública Nacional___6.1.4 Licitación Pública Internacional___ 6.1.5 Otro: (Señalar)</w:t>
            </w:r>
          </w:p>
          <w:p w14:paraId="673053C8" w14:textId="77777777" w:rsidR="006041CA" w:rsidRDefault="001271CC">
            <w:pPr>
              <w:spacing w:after="120" w:line="360" w:lineRule="auto"/>
              <w:rPr>
                <w:color w:val="000000"/>
              </w:rPr>
            </w:pPr>
            <w:r>
              <w:rPr>
                <w:color w:val="000000"/>
              </w:rPr>
              <w:t>Convenio de Colaboración Institucional</w:t>
            </w:r>
          </w:p>
        </w:tc>
      </w:tr>
      <w:tr w:rsidR="006041CA" w14:paraId="4F588E17" w14:textId="77777777">
        <w:trPr>
          <w:trHeight w:val="600"/>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00"/>
            <w:vAlign w:val="center"/>
          </w:tcPr>
          <w:p w14:paraId="78A43A2B" w14:textId="77777777" w:rsidR="006041CA" w:rsidRDefault="001271CC">
            <w:pPr>
              <w:spacing w:after="120" w:line="360" w:lineRule="auto"/>
              <w:rPr>
                <w:color w:val="000000"/>
              </w:rPr>
            </w:pPr>
            <w:r>
              <w:rPr>
                <w:color w:val="000000"/>
              </w:rPr>
              <w:t xml:space="preserve">6.2 Unidad administrativa responsable de contratar la evaluación: </w:t>
            </w:r>
            <w:r>
              <w:rPr>
                <w:sz w:val="17"/>
                <w:szCs w:val="17"/>
                <w:highlight w:val="yellow"/>
              </w:rPr>
              <w:t>Coordinación de planeación para el desarrollo del Estado de Michoacán de Ocampo.</w:t>
            </w:r>
          </w:p>
        </w:tc>
      </w:tr>
      <w:tr w:rsidR="006041CA" w14:paraId="78C27F8F"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00"/>
            <w:vAlign w:val="center"/>
          </w:tcPr>
          <w:p w14:paraId="134FD59C" w14:textId="77777777" w:rsidR="006041CA" w:rsidRDefault="001271CC">
            <w:pPr>
              <w:spacing w:after="120" w:line="360" w:lineRule="auto"/>
              <w:rPr>
                <w:color w:val="000000"/>
              </w:rPr>
            </w:pPr>
            <w:r>
              <w:rPr>
                <w:color w:val="000000"/>
              </w:rPr>
              <w:t>6.3 Costo total de la evaluación: $</w:t>
            </w:r>
            <w:r>
              <w:rPr>
                <w:sz w:val="17"/>
                <w:szCs w:val="17"/>
                <w:highlight w:val="yellow"/>
              </w:rPr>
              <w:t>$230,000 (Doscientos treinta mil pesos 00/100M.N).</w:t>
            </w:r>
          </w:p>
        </w:tc>
      </w:tr>
      <w:tr w:rsidR="006041CA" w14:paraId="3C951496"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00"/>
            <w:vAlign w:val="center"/>
          </w:tcPr>
          <w:p w14:paraId="58A49280" w14:textId="77777777" w:rsidR="006041CA" w:rsidRDefault="001271CC">
            <w:pPr>
              <w:spacing w:after="120" w:line="360" w:lineRule="auto"/>
              <w:rPr>
                <w:color w:val="000000"/>
              </w:rPr>
            </w:pPr>
            <w:r>
              <w:rPr>
                <w:color w:val="000000"/>
              </w:rPr>
              <w:t>6.4 Fuente de Financiamiento : Estatal</w:t>
            </w:r>
          </w:p>
        </w:tc>
      </w:tr>
      <w:tr w:rsidR="006041CA" w14:paraId="1010F563" w14:textId="77777777">
        <w:trPr>
          <w:trHeight w:val="315"/>
        </w:trPr>
        <w:tc>
          <w:tcPr>
            <w:tcW w:w="5237" w:type="dxa"/>
            <w:tcBorders>
              <w:top w:val="single" w:sz="8" w:space="0" w:color="000000"/>
              <w:left w:val="single" w:sz="8" w:space="0" w:color="000000"/>
              <w:bottom w:val="single" w:sz="8" w:space="0" w:color="000000"/>
              <w:right w:val="single" w:sz="8" w:space="0" w:color="000000"/>
            </w:tcBorders>
            <w:shd w:val="clear" w:color="auto" w:fill="6C0C4C"/>
            <w:vAlign w:val="center"/>
          </w:tcPr>
          <w:p w14:paraId="3E43A166" w14:textId="77777777" w:rsidR="006041CA" w:rsidRDefault="001271CC">
            <w:pPr>
              <w:spacing w:after="120" w:line="360" w:lineRule="auto"/>
              <w:jc w:val="center"/>
              <w:rPr>
                <w:b/>
                <w:color w:val="FFFFFF"/>
              </w:rPr>
            </w:pPr>
            <w:r>
              <w:rPr>
                <w:b/>
                <w:color w:val="FFFFFF"/>
              </w:rPr>
              <w:t>7. Difusión de la evaluación</w:t>
            </w:r>
          </w:p>
        </w:tc>
        <w:tc>
          <w:tcPr>
            <w:tcW w:w="4725" w:type="dxa"/>
            <w:tcBorders>
              <w:top w:val="nil"/>
              <w:left w:val="nil"/>
              <w:bottom w:val="single" w:sz="8" w:space="0" w:color="000000"/>
              <w:right w:val="nil"/>
            </w:tcBorders>
            <w:shd w:val="clear" w:color="auto" w:fill="FFFFFF"/>
            <w:vAlign w:val="center"/>
          </w:tcPr>
          <w:p w14:paraId="439396E7" w14:textId="77777777" w:rsidR="006041CA" w:rsidRDefault="001271CC">
            <w:pPr>
              <w:spacing w:after="120" w:line="360" w:lineRule="auto"/>
              <w:rPr>
                <w:color w:val="000000"/>
              </w:rPr>
            </w:pPr>
            <w:r>
              <w:rPr>
                <w:color w:val="000000"/>
              </w:rPr>
              <w:t> </w:t>
            </w:r>
          </w:p>
        </w:tc>
      </w:tr>
      <w:tr w:rsidR="006041CA" w14:paraId="76F3AABD" w14:textId="77777777">
        <w:trPr>
          <w:trHeight w:val="315"/>
        </w:trPr>
        <w:tc>
          <w:tcPr>
            <w:tcW w:w="9962" w:type="dxa"/>
            <w:gridSpan w:val="2"/>
            <w:tcBorders>
              <w:top w:val="nil"/>
              <w:left w:val="single" w:sz="8" w:space="0" w:color="000000"/>
              <w:bottom w:val="single" w:sz="8" w:space="0" w:color="000000"/>
              <w:right w:val="single" w:sz="8" w:space="0" w:color="000000"/>
            </w:tcBorders>
            <w:shd w:val="clear" w:color="auto" w:fill="FFFF00"/>
            <w:vAlign w:val="center"/>
          </w:tcPr>
          <w:p w14:paraId="75A285CB" w14:textId="77777777" w:rsidR="006041CA" w:rsidRDefault="001271CC">
            <w:pPr>
              <w:spacing w:after="120" w:line="360" w:lineRule="auto"/>
              <w:rPr>
                <w:color w:val="000000"/>
              </w:rPr>
            </w:pPr>
            <w:r>
              <w:rPr>
                <w:color w:val="000000"/>
              </w:rPr>
              <w:t xml:space="preserve">7.1 Difusión en internet de la evaluación: </w:t>
            </w:r>
            <w:r>
              <w:rPr>
                <w:sz w:val="17"/>
                <w:szCs w:val="17"/>
                <w:highlight w:val="yellow"/>
              </w:rPr>
              <w:t>https://cpladem.michoacan.gob.mx/pbr-sed/</w:t>
            </w:r>
          </w:p>
        </w:tc>
      </w:tr>
      <w:tr w:rsidR="006041CA" w14:paraId="3929CB50" w14:textId="77777777">
        <w:trPr>
          <w:trHeight w:val="315"/>
        </w:trPr>
        <w:tc>
          <w:tcPr>
            <w:tcW w:w="9962" w:type="dxa"/>
            <w:gridSpan w:val="2"/>
            <w:tcBorders>
              <w:top w:val="single" w:sz="8" w:space="0" w:color="000000"/>
              <w:left w:val="single" w:sz="8" w:space="0" w:color="000000"/>
              <w:bottom w:val="single" w:sz="8" w:space="0" w:color="000000"/>
              <w:right w:val="single" w:sz="8" w:space="0" w:color="000000"/>
            </w:tcBorders>
            <w:shd w:val="clear" w:color="auto" w:fill="FFFF00"/>
            <w:vAlign w:val="center"/>
          </w:tcPr>
          <w:p w14:paraId="7CEA075F" w14:textId="77777777" w:rsidR="006041CA" w:rsidRDefault="001271CC">
            <w:pPr>
              <w:spacing w:after="120" w:line="360" w:lineRule="auto"/>
              <w:rPr>
                <w:color w:val="000000"/>
              </w:rPr>
            </w:pPr>
            <w:r>
              <w:rPr>
                <w:color w:val="000000"/>
              </w:rPr>
              <w:t xml:space="preserve">7.2 Difusión en internet del formato: </w:t>
            </w:r>
            <w:r>
              <w:rPr>
                <w:sz w:val="17"/>
                <w:szCs w:val="17"/>
                <w:highlight w:val="yellow"/>
              </w:rPr>
              <w:t>http://187.174.190.2:8080/pbr-sed/</w:t>
            </w:r>
          </w:p>
        </w:tc>
      </w:tr>
    </w:tbl>
    <w:p w14:paraId="13698306" w14:textId="77777777" w:rsidR="006041CA" w:rsidRDefault="006041CA">
      <w:pPr>
        <w:pStyle w:val="Ttulo1"/>
        <w:spacing w:before="0" w:after="120" w:line="360" w:lineRule="auto"/>
        <w:jc w:val="center"/>
        <w:rPr>
          <w:rFonts w:ascii="Calibri" w:eastAsia="Calibri" w:hAnsi="Calibri" w:cs="Calibri"/>
          <w:b/>
          <w:color w:val="000000"/>
          <w:sz w:val="52"/>
          <w:szCs w:val="52"/>
        </w:rPr>
      </w:pPr>
    </w:p>
    <w:sectPr w:rsidR="006041CA">
      <w:headerReference w:type="default" r:id="rId19"/>
      <w:footerReference w:type="default" r:id="rId20"/>
      <w:footerReference w:type="first" r:id="rId21"/>
      <w:pgSz w:w="12240" w:h="15840"/>
      <w:pgMar w:top="1701" w:right="1134" w:bottom="1134" w:left="1134" w:header="708" w:footer="70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AA10F4" w14:textId="77777777" w:rsidR="00B551B3" w:rsidRDefault="00B551B3">
      <w:pPr>
        <w:spacing w:after="0" w:line="240" w:lineRule="auto"/>
      </w:pPr>
      <w:r>
        <w:separator/>
      </w:r>
    </w:p>
  </w:endnote>
  <w:endnote w:type="continuationSeparator" w:id="0">
    <w:p w14:paraId="1693BE04" w14:textId="77777777" w:rsidR="00B551B3" w:rsidRDefault="00B55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embedRegular r:id="rId1" w:fontKey="{FF2B7D73-81E0-482F-AA6D-4DF9926AEF9D}"/>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D3DB70E9-4580-4EC8-B09D-7364FDC2AC0A}"/>
    <w:embedBold r:id="rId3" w:fontKey="{A732B787-ADFE-4195-BCDE-8FD0B0AA5C77}"/>
    <w:embedItalic r:id="rId4" w:fontKey="{A70E5C25-226D-4655-839F-0CB7BD7DAE0E}"/>
  </w:font>
  <w:font w:name="Calibri Light">
    <w:charset w:val="00"/>
    <w:family w:val="swiss"/>
    <w:pitch w:val="variable"/>
    <w:sig w:usb0="E4002EFF" w:usb1="C200247B" w:usb2="00000009" w:usb3="00000000" w:csb0="000001FF" w:csb1="00000000"/>
    <w:embedRegular r:id="rId5" w:fontKey="{C0DD2BCB-689A-46EB-8D37-5F9305F99B3E}"/>
  </w:font>
  <w:font w:name="Georgia">
    <w:panose1 w:val="02040502050405020303"/>
    <w:charset w:val="00"/>
    <w:family w:val="roman"/>
    <w:pitch w:val="variable"/>
    <w:sig w:usb0="00000287" w:usb1="00000000" w:usb2="00000000" w:usb3="00000000" w:csb0="0000009F" w:csb1="00000000"/>
    <w:embedRegular r:id="rId6" w:fontKey="{30B7ABC7-B19E-4F3C-8A16-45CF21F2CFA0}"/>
    <w:embedItalic r:id="rId7" w:fontKey="{2BE35872-F852-4C22-AD36-530B01F66A77}"/>
  </w:font>
  <w:font w:name="Cambria Math">
    <w:panose1 w:val="02040503050406030204"/>
    <w:charset w:val="00"/>
    <w:family w:val="roman"/>
    <w:pitch w:val="variable"/>
    <w:sig w:usb0="E00002FF" w:usb1="420024FF" w:usb2="00000000" w:usb3="00000000" w:csb0="0000019F" w:csb1="00000000"/>
    <w:embedRegular r:id="rId8" w:fontKey="{BC8B59A1-EB71-4F30-8B90-BE400AF3FA9F}"/>
    <w:embedItalic r:id="rId9" w:fontKey="{3883ED23-3A24-4DBC-9CBF-369C2B01F9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208A6" w14:textId="77777777" w:rsidR="006041CA" w:rsidRDefault="001271CC">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91308">
      <w:rPr>
        <w:noProof/>
        <w:color w:val="000000"/>
      </w:rPr>
      <w:t>1</w:t>
    </w:r>
    <w:r>
      <w:rPr>
        <w:color w:val="000000"/>
      </w:rPr>
      <w:fldChar w:fldCharType="end"/>
    </w:r>
  </w:p>
  <w:p w14:paraId="2002AA3D" w14:textId="77777777" w:rsidR="006041CA" w:rsidRDefault="006041C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AD91E" w14:textId="77777777" w:rsidR="006041CA" w:rsidRDefault="001271CC">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0288" behindDoc="0" locked="0" layoutInCell="1" hidden="0" allowOverlap="1" wp14:anchorId="57575C91" wp14:editId="4D870649">
          <wp:simplePos x="0" y="0"/>
          <wp:positionH relativeFrom="column">
            <wp:posOffset>-720089</wp:posOffset>
          </wp:positionH>
          <wp:positionV relativeFrom="paragraph">
            <wp:posOffset>95250</wp:posOffset>
          </wp:positionV>
          <wp:extent cx="7760970" cy="1642211"/>
          <wp:effectExtent l="0" t="0" r="0" b="0"/>
          <wp:wrapTopAndBottom distT="0" distB="0"/>
          <wp:docPr id="2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0970" cy="1642211"/>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AF3713" w14:textId="77777777" w:rsidR="00B551B3" w:rsidRDefault="00B551B3">
      <w:pPr>
        <w:spacing w:after="0" w:line="240" w:lineRule="auto"/>
      </w:pPr>
      <w:r>
        <w:separator/>
      </w:r>
    </w:p>
  </w:footnote>
  <w:footnote w:type="continuationSeparator" w:id="0">
    <w:p w14:paraId="5B7E40DA" w14:textId="77777777" w:rsidR="00B551B3" w:rsidRDefault="00B551B3">
      <w:pPr>
        <w:spacing w:after="0" w:line="240" w:lineRule="auto"/>
      </w:pPr>
      <w:r>
        <w:continuationSeparator/>
      </w:r>
    </w:p>
  </w:footnote>
  <w:footnote w:id="1">
    <w:p w14:paraId="5008EFAB" w14:textId="77777777" w:rsidR="006041CA" w:rsidRDefault="001271CC">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CONEVAL. TDR 2014-2015 vigentes al 2024, para la Evaluación Específica de Desempeño de Programas presupuestarios. Disponibles en: https://www.coneval.org.mx/EvaluacionDS/Metodologia/Paginas/EED.aspx.</w:t>
      </w:r>
    </w:p>
  </w:footnote>
  <w:footnote w:id="2">
    <w:p w14:paraId="01DF421A" w14:textId="77777777" w:rsidR="006041CA" w:rsidRDefault="001271CC">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color w:val="000000"/>
          <w:sz w:val="18"/>
          <w:szCs w:val="18"/>
        </w:rPr>
        <w:t xml:space="preserve"> Disponibles en: https://www.gob.mx/shcp/acciones-y-Programas/evaluacion-de-Programas-presupuestarios-de-la-administracion-publica-federal-130241#:~:text=%C2%BFQu%C3%A9%20son%20los%20T%C3%A9rminos%20de,la%20instancia%20que%20la%20realizar%C3%A1</w:t>
      </w:r>
      <w:r>
        <w:rPr>
          <w:rFonts w:ascii="Times New Roman" w:eastAsia="Times New Roman" w:hAnsi="Times New Roman" w:cs="Times New Roman"/>
          <w:color w:val="000000"/>
          <w:sz w:val="18"/>
          <w:szCs w:val="18"/>
        </w:rPr>
        <w:t>.</w:t>
      </w:r>
    </w:p>
  </w:footnote>
  <w:footnote w:id="3">
    <w:p w14:paraId="6CF77DCA" w14:textId="77777777" w:rsidR="006041CA" w:rsidRDefault="001271CC">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vertAlign w:val="superscript"/>
        </w:rPr>
        <w:t xml:space="preserve"> </w:t>
      </w:r>
      <w:r>
        <w:rPr>
          <w:color w:val="000000"/>
          <w:sz w:val="18"/>
          <w:szCs w:val="18"/>
        </w:rPr>
        <w:t>https://see.michoacan.gob.mx/mision-vision-y-valores/</w:t>
      </w:r>
    </w:p>
  </w:footnote>
  <w:footnote w:id="4">
    <w:p w14:paraId="6DA19DE0" w14:textId="77777777" w:rsidR="006041CA" w:rsidRDefault="001271CC">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vertAlign w:val="superscript"/>
        </w:rPr>
        <w:t xml:space="preserve"> </w:t>
      </w:r>
      <w:r>
        <w:rPr>
          <w:color w:val="000000"/>
          <w:sz w:val="18"/>
          <w:szCs w:val="18"/>
        </w:rPr>
        <w:t>Resumen de la Estrategia Programática, Presupuesto de Egresos de la Federación 2023.</w:t>
      </w:r>
    </w:p>
  </w:footnote>
  <w:footnote w:id="5">
    <w:p w14:paraId="6C329614" w14:textId="77777777" w:rsidR="006041CA" w:rsidRDefault="001271CC">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MIR del FONE correspondiente al Proyecto de Presupuesto de Egresos de la Federación para el Ejercicio Fiscal 2023. Obtenida del link: https://www.ppef.hacienda.gob.mx/es/PPEF2023/generales</w:t>
      </w:r>
    </w:p>
  </w:footnote>
  <w:footnote w:id="6">
    <w:p w14:paraId="6BB47945" w14:textId="77777777" w:rsidR="006041CA" w:rsidRDefault="001271CC">
      <w:pPr>
        <w:pBdr>
          <w:top w:val="nil"/>
          <w:left w:val="nil"/>
          <w:bottom w:val="nil"/>
          <w:right w:val="nil"/>
          <w:between w:val="nil"/>
        </w:pBdr>
        <w:spacing w:after="0" w:line="240" w:lineRule="auto"/>
        <w:jc w:val="both"/>
        <w:rPr>
          <w:rFonts w:ascii="Arial" w:eastAsia="Arial" w:hAnsi="Arial" w:cs="Arial"/>
          <w:color w:val="000000"/>
          <w:sz w:val="16"/>
          <w:szCs w:val="16"/>
        </w:rPr>
      </w:pPr>
      <w:r>
        <w:rPr>
          <w:vertAlign w:val="superscript"/>
        </w:rPr>
        <w:footnoteRef/>
      </w:r>
      <w:r>
        <w:rPr>
          <w:color w:val="000000"/>
          <w:sz w:val="18"/>
          <w:szCs w:val="18"/>
        </w:rPr>
        <w:t xml:space="preserve"> Ley de Coordinación Fiscal.</w:t>
      </w:r>
    </w:p>
  </w:footnote>
  <w:footnote w:id="7">
    <w:p w14:paraId="059D3D96" w14:textId="77777777" w:rsidR="006041CA" w:rsidRDefault="001271CC">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vertAlign w:val="superscript"/>
        </w:rPr>
        <w:t xml:space="preserve"> </w:t>
      </w:r>
      <w:r>
        <w:rPr>
          <w:color w:val="000000"/>
          <w:sz w:val="18"/>
          <w:szCs w:val="18"/>
        </w:rPr>
        <w:t>ACUERDO por el que se da a conocer a los gobiernos de las entidades federativas la distribución y calendarización para la ministración durante el ejercicio fiscal 2023, de los recursos correspondientes a los Ramos Generales 28 Participaciones a Entidades Federativas y Municipios y 33 Aportaciones Federales para Entidades Federativas y Municipios. Diario Oficial de la Federación. 19/12/2022. Link: https://www.dof.gob.mx/nota_detalle.php?codigo=5674889&amp;fecha=19/12/2022#gsc.tab=0</w:t>
      </w:r>
    </w:p>
  </w:footnote>
  <w:footnote w:id="8">
    <w:p w14:paraId="7C505E28" w14:textId="77777777" w:rsidR="006041CA" w:rsidRDefault="001271C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18"/>
          <w:szCs w:val="18"/>
        </w:rPr>
        <w:t xml:space="preserve"> Datos obtenidos del Reporte del Ejercicio del Gasto, Definitivo 2023, del Portal de Transparencia Presupuestaria. Link: https://www.transparenciapresupuestaria.gob.mx/Datos-Abiertos</w:t>
      </w:r>
    </w:p>
  </w:footnote>
  <w:footnote w:id="9">
    <w:p w14:paraId="32392D5A" w14:textId="77777777" w:rsidR="006041CA" w:rsidRDefault="001271CC">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MIR del Programa presupuestario “AE01 Educación Básica” ejercicio fiscal 2023.</w:t>
      </w:r>
    </w:p>
  </w:footnote>
  <w:footnote w:id="10">
    <w:p w14:paraId="568DA33F" w14:textId="77777777" w:rsidR="006041CA" w:rsidRDefault="001271CC">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MIR del FONE correspondiente al Proyecto de Presupuesto de Egresos de la Federación para el Ejercicio Fiscal 2023 obtenida del Link: https://www.ppef.hacienda.gob.mx/es/PPEF2023/generales</w:t>
      </w:r>
    </w:p>
  </w:footnote>
  <w:footnote w:id="11">
    <w:p w14:paraId="12BC81A7" w14:textId="77777777" w:rsidR="006041CA" w:rsidRDefault="001271CC">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Ley de Coordinación Fiscal, artículo 26.</w:t>
      </w:r>
    </w:p>
  </w:footnote>
  <w:footnote w:id="12">
    <w:p w14:paraId="64C6AE5F" w14:textId="77777777" w:rsidR="006041CA" w:rsidRDefault="001271CC">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8"/>
          <w:szCs w:val="18"/>
        </w:rPr>
        <w:t xml:space="preserve"> Lineamientos del Gasto de Operación del Fondo de Aportaciones para la Nómina Educativa y Gasto Operativo.</w:t>
      </w:r>
    </w:p>
  </w:footnote>
  <w:footnote w:id="13">
    <w:p w14:paraId="351C5006" w14:textId="77777777" w:rsidR="006041CA" w:rsidRDefault="001271CC">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18"/>
          <w:szCs w:val="18"/>
        </w:rPr>
        <w:t xml:space="preserve"> Información extraída del link: https://www.conac.gob.mx/work/models/CONAC/normatividad/NOR_01_15_002.pdf</w:t>
      </w:r>
    </w:p>
  </w:footnote>
  <w:footnote w:id="14">
    <w:p w14:paraId="1A36C408" w14:textId="77777777" w:rsidR="006041CA" w:rsidRDefault="001271CC">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Criterio “Relevante” de acuerdo a lo señalado en los Lineamientos para la construcción y diseño de indicadores de desempeño mediante la Metodología de Marco Lógico.</w:t>
      </w:r>
    </w:p>
  </w:footnote>
  <w:footnote w:id="15">
    <w:p w14:paraId="420B362E" w14:textId="77777777" w:rsidR="006041CA" w:rsidRDefault="001271CC">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MIR del FONE correspondiente al Proyecto de Presupuesto de Egresos de la Federación para el Ejercicio Fiscal 2023 obtenida del Link: https://www.ppef.hacienda.gob.mx/es/PPEF2023/generales</w:t>
      </w:r>
    </w:p>
  </w:footnote>
  <w:footnote w:id="16">
    <w:p w14:paraId="432A634B" w14:textId="77777777" w:rsidR="006041CA" w:rsidRPr="00B85546" w:rsidRDefault="001271C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Pr>
          <w:vertAlign w:val="superscript"/>
        </w:rPr>
        <w:footnoteRef/>
      </w:r>
      <w:r>
        <w:rPr>
          <w:color w:val="000000"/>
          <w:sz w:val="18"/>
          <w:szCs w:val="18"/>
        </w:rPr>
        <w:t xml:space="preserve">  Guía para el diseño de la Matriz de Indicadores para Resultados, Pág. 41. </w:t>
      </w:r>
      <w:r w:rsidRPr="00B85546">
        <w:rPr>
          <w:color w:val="000000"/>
          <w:sz w:val="18"/>
          <w:szCs w:val="18"/>
          <w:lang w:val="en-US"/>
        </w:rPr>
        <w:t>Link: https://www.transparenciapresupuestaria.gob.mx/work/models/PTP/Capacitacion/GuiaMIR.pdf</w:t>
      </w:r>
    </w:p>
  </w:footnote>
  <w:footnote w:id="17">
    <w:p w14:paraId="4C301341" w14:textId="77777777" w:rsidR="006041CA" w:rsidRDefault="001271CC">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18"/>
          <w:szCs w:val="18"/>
        </w:rPr>
        <w:t xml:space="preserve"> MIR del Programa AE01 Educación Básica ejercicio fiscal 2023. Planeación Anual 2021, 2022 Y 2023 Dirección General de Planeación Programación y Estadística Educativa.</w:t>
      </w:r>
    </w:p>
  </w:footnote>
  <w:footnote w:id="18">
    <w:p w14:paraId="6B5F8ABD" w14:textId="77777777" w:rsidR="006041CA" w:rsidRDefault="001271CC">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Consejo Nacional de Armonización Contable (CONAC). Obtenido de los Lineamientos para la construcción y diseño de indicadores de desempeño mediante la Metodología de Marco Lógico: https://www.conac.gob.mx/work/models/CONAC/normatividad/NOR_01_15_002.pdf</w:t>
      </w:r>
    </w:p>
  </w:footnote>
  <w:footnote w:id="19">
    <w:p w14:paraId="4B5A649A" w14:textId="77777777" w:rsidR="006041CA" w:rsidRDefault="001271CC">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Guía para el diseño de la Matriz de Indicadores para Resultados, Pág. 56, obtenida del link: https://www.transparenciapresupuestaria.gob.mx/work/models/PTP/Capacitacion/GuiaMIR.pdf</w:t>
      </w:r>
    </w:p>
  </w:footnote>
  <w:footnote w:id="20">
    <w:p w14:paraId="65D2502B" w14:textId="77777777" w:rsidR="006041CA" w:rsidRDefault="001271CC">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MIR del Programa presupuestario AE01 Educación Básica Planeación Anual 2023 Dirección General de Planeación Programación y Estadística Educativa.</w:t>
      </w:r>
    </w:p>
  </w:footnote>
  <w:footnote w:id="21">
    <w:p w14:paraId="505A74DC" w14:textId="77777777" w:rsidR="006041CA" w:rsidRPr="00B85546" w:rsidRDefault="001271C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Pr>
          <w:vertAlign w:val="superscript"/>
        </w:rPr>
        <w:footnoteRef/>
      </w:r>
      <w:r>
        <w:rPr>
          <w:color w:val="000000"/>
          <w:sz w:val="18"/>
          <w:szCs w:val="18"/>
        </w:rPr>
        <w:t xml:space="preserve"> Lineamientos para la construcción y diseño de indicadores de desempeño mediante la Metodología de Marco Lógico, CONAC. </w:t>
      </w:r>
      <w:r w:rsidRPr="00B85546">
        <w:rPr>
          <w:color w:val="000000"/>
          <w:sz w:val="18"/>
          <w:szCs w:val="18"/>
          <w:lang w:val="en-US"/>
        </w:rPr>
        <w:t>Link: https://www.conac.gob.mx/work/models/CONAC/normatividad/NOR_01_15_002.pdf</w:t>
      </w:r>
    </w:p>
  </w:footnote>
  <w:footnote w:id="22">
    <w:p w14:paraId="394203B3" w14:textId="77777777" w:rsidR="006041CA" w:rsidRDefault="001271CC">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Guía para el diseño de la Matriz de Indicadores para Resultados, SHCP. Pág. 51., link: https://www.transparenciapresupuestaria.gob.mx/work/models/PTP/Capacitacion/GuiaMIR.pdf</w:t>
      </w:r>
    </w:p>
  </w:footnote>
  <w:footnote w:id="23">
    <w:p w14:paraId="3494B375" w14:textId="77777777" w:rsidR="006041CA" w:rsidRDefault="001271CC">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18"/>
          <w:szCs w:val="18"/>
        </w:rPr>
        <w:t xml:space="preserve"> MIR del Programa AE01 Educación Básica ejercicio fiscal 2023. Planeación Anual 2023 Dirección General de Planeación Programación y Estadística Educativa.</w:t>
      </w:r>
    </w:p>
  </w:footnote>
  <w:footnote w:id="24">
    <w:p w14:paraId="47B569A4" w14:textId="77777777" w:rsidR="006041CA" w:rsidRDefault="001271CC">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Reportes del Ejercicio del Gasto Federalizado de los ejercicios 2021, 2022 y 2023, link: https://www.transparenciapresupuestaria.gob.mx/Datos-Abiertos</w:t>
      </w:r>
    </w:p>
  </w:footnote>
  <w:footnote w:id="25">
    <w:p w14:paraId="15A2A620" w14:textId="77777777" w:rsidR="006041CA" w:rsidRDefault="001271C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18"/>
          <w:szCs w:val="18"/>
        </w:rPr>
        <w:t xml:space="preserve"> Planeación Anual 2021, 2022 y 2023, Sistema de Información para la Planeación y Seguimiento.</w:t>
      </w:r>
    </w:p>
  </w:footnote>
  <w:footnote w:id="26">
    <w:p w14:paraId="1BCBE288" w14:textId="77777777" w:rsidR="006041CA" w:rsidRDefault="001271CC">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18"/>
          <w:szCs w:val="18"/>
        </w:rPr>
        <w:t xml:space="preserve"> Ver Formato 11b del Anexo 5 de ésta evaluación.</w:t>
      </w:r>
    </w:p>
  </w:footnote>
  <w:footnote w:id="27">
    <w:p w14:paraId="77BE4B20" w14:textId="77777777" w:rsidR="006041CA" w:rsidRDefault="001271CC">
      <w:pPr>
        <w:jc w:val="both"/>
        <w:rPr>
          <w:b/>
          <w:sz w:val="18"/>
          <w:szCs w:val="18"/>
        </w:rPr>
      </w:pPr>
      <w:r>
        <w:rPr>
          <w:vertAlign w:val="superscript"/>
        </w:rPr>
        <w:footnoteRef/>
      </w:r>
      <w:r>
        <w:rPr>
          <w:sz w:val="18"/>
          <w:szCs w:val="18"/>
        </w:rPr>
        <w:t xml:space="preserve"> </w:t>
      </w:r>
      <w:r>
        <w:rPr>
          <w:color w:val="000000"/>
          <w:sz w:val="18"/>
          <w:szCs w:val="18"/>
        </w:rPr>
        <w:t>Cálculos realizados por INDETEC tomando como base los recursos ministrados del Fondo en términos reales. Para deflactar la serie se tomó el índice de precios implícitos del PIB año base 2018, y con los reportes definitivos del SRFT Ejercicio del Gasto de los ejercicios 2021, 2022 y 2023.</w:t>
      </w:r>
    </w:p>
  </w:footnote>
  <w:footnote w:id="28">
    <w:p w14:paraId="5A551504" w14:textId="77777777" w:rsidR="006041CA" w:rsidRDefault="001271CC">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Proyecciones de la población </w:t>
      </w:r>
      <w:r>
        <w:rPr>
          <w:sz w:val="18"/>
          <w:szCs w:val="18"/>
        </w:rPr>
        <w:t>del año</w:t>
      </w:r>
      <w:r>
        <w:rPr>
          <w:color w:val="000000"/>
          <w:sz w:val="18"/>
          <w:szCs w:val="18"/>
        </w:rPr>
        <w:t xml:space="preserve"> 2022, CONAPO.  </w:t>
      </w:r>
    </w:p>
  </w:footnote>
  <w:footnote w:id="29">
    <w:p w14:paraId="0D14272D" w14:textId="77777777" w:rsidR="006041CA" w:rsidRDefault="001271CC">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Estadísticas de Educación del proceso de inicio de cursos 2022-2023.</w:t>
      </w:r>
    </w:p>
  </w:footnote>
  <w:footnote w:id="30">
    <w:p w14:paraId="592FB254" w14:textId="77777777" w:rsidR="006041CA" w:rsidRDefault="001271C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18"/>
          <w:szCs w:val="18"/>
        </w:rPr>
        <w:t xml:space="preserve"> Principales Cifras del Sistema Educativo Nacional 2022-2023, link: https://www.planeacion.sep.gob.mx/Doc/estadistica_e_indicadores/principales_cifras/principales_cifras_2022_2023_bolsillo.pdf</w:t>
      </w:r>
    </w:p>
  </w:footnote>
  <w:footnote w:id="31">
    <w:p w14:paraId="15D91736" w14:textId="77777777" w:rsidR="006041CA" w:rsidRDefault="001271CC">
      <w:pPr>
        <w:pBdr>
          <w:top w:val="nil"/>
          <w:left w:val="nil"/>
          <w:bottom w:val="nil"/>
          <w:right w:val="nil"/>
          <w:between w:val="nil"/>
        </w:pBdr>
        <w:spacing w:after="120" w:line="240" w:lineRule="auto"/>
        <w:jc w:val="both"/>
        <w:rPr>
          <w:color w:val="000000"/>
          <w:sz w:val="18"/>
          <w:szCs w:val="18"/>
        </w:rPr>
      </w:pPr>
      <w:r>
        <w:rPr>
          <w:vertAlign w:val="superscript"/>
        </w:rPr>
        <w:footnoteRef/>
      </w:r>
      <w:r>
        <w:rPr>
          <w:color w:val="000000"/>
          <w:sz w:val="18"/>
          <w:szCs w:val="18"/>
        </w:rPr>
        <w:t xml:space="preserve"> Principales Cifras del Sistema Educativo Nacional 2022-2023, link: </w:t>
      </w:r>
    </w:p>
    <w:p w14:paraId="445C2C2A" w14:textId="77777777" w:rsidR="006041CA" w:rsidRDefault="001271CC">
      <w:pPr>
        <w:pBdr>
          <w:top w:val="nil"/>
          <w:left w:val="nil"/>
          <w:bottom w:val="nil"/>
          <w:right w:val="nil"/>
          <w:between w:val="nil"/>
        </w:pBdr>
        <w:spacing w:after="120" w:line="240" w:lineRule="auto"/>
        <w:jc w:val="both"/>
        <w:rPr>
          <w:sz w:val="18"/>
          <w:szCs w:val="18"/>
        </w:rPr>
      </w:pPr>
      <w:r>
        <w:rPr>
          <w:color w:val="0563C1"/>
          <w:sz w:val="18"/>
          <w:szCs w:val="18"/>
          <w:u w:val="single"/>
        </w:rPr>
        <w:t>https://www.planeacion.sep.gob.mx/Doc/estadistica_e_indicadores/principales_cifras/principales_cifras_2022_2023_bolsillo.pdf</w:t>
      </w:r>
    </w:p>
  </w:footnote>
  <w:footnote w:id="32">
    <w:p w14:paraId="1F170DEB" w14:textId="77777777" w:rsidR="006041CA" w:rsidRDefault="001271CC">
      <w:pPr>
        <w:spacing w:after="120" w:line="240" w:lineRule="auto"/>
        <w:jc w:val="both"/>
        <w:rPr>
          <w:rFonts w:ascii="Arial" w:eastAsia="Arial" w:hAnsi="Arial" w:cs="Arial"/>
          <w:b/>
          <w:sz w:val="16"/>
          <w:szCs w:val="16"/>
        </w:rPr>
      </w:pPr>
      <w:r>
        <w:rPr>
          <w:vertAlign w:val="superscript"/>
        </w:rPr>
        <w:footnoteRef/>
      </w:r>
      <w:r>
        <w:rPr>
          <w:sz w:val="18"/>
          <w:szCs w:val="18"/>
        </w:rPr>
        <w:t xml:space="preserve"> Reporte del Ejercicio del Gasto, Definitivo 2021-2023, Portal de Transparencia Presupuestaria. Recuperado de: </w:t>
      </w:r>
      <w:hyperlink r:id="rId1">
        <w:r>
          <w:rPr>
            <w:color w:val="0563C1"/>
            <w:sz w:val="18"/>
            <w:szCs w:val="18"/>
            <w:u w:val="single"/>
          </w:rPr>
          <w:t>https://www.transparenciapresupuestaria.gob.mx/Datos-Abiertos</w:t>
        </w:r>
      </w:hyperlink>
      <w:r>
        <w:t xml:space="preserve"> </w:t>
      </w:r>
      <w:r>
        <w:rPr>
          <w:rFonts w:ascii="Arial" w:eastAsia="Arial" w:hAnsi="Arial" w:cs="Arial"/>
          <w:b/>
          <w:sz w:val="16"/>
          <w:szCs w:val="16"/>
        </w:rPr>
        <w:t xml:space="preserve"> </w:t>
      </w:r>
    </w:p>
  </w:footnote>
  <w:footnote w:id="33">
    <w:p w14:paraId="527DAEDC" w14:textId="77777777" w:rsidR="006041CA" w:rsidRDefault="001271CC">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Documento de Posición Institucional, Tarjeta Informativa, Secretaría de Educación, Subdirección de Presupuesto.</w:t>
      </w:r>
    </w:p>
  </w:footnote>
  <w:footnote w:id="34">
    <w:p w14:paraId="3AAA1A7E" w14:textId="77777777" w:rsidR="006041CA" w:rsidRDefault="001271C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18"/>
          <w:szCs w:val="18"/>
        </w:rPr>
        <w:t xml:space="preserve"> Formato Anexo E Avance del Documento Institucional Seguimiento a Aspectos Susceptibles de Mejora clasificados como institucionales, derivados de informes y evaluaciones, 13 de mayo 2024.</w:t>
      </w:r>
    </w:p>
  </w:footnote>
  <w:footnote w:id="35">
    <w:p w14:paraId="2AC7352F" w14:textId="77777777" w:rsidR="006041CA" w:rsidRDefault="001271CC">
      <w:pPr>
        <w:pBdr>
          <w:top w:val="nil"/>
          <w:left w:val="nil"/>
          <w:bottom w:val="nil"/>
          <w:right w:val="nil"/>
          <w:between w:val="nil"/>
        </w:pBdr>
        <w:spacing w:after="0" w:line="240" w:lineRule="auto"/>
        <w:jc w:val="both"/>
        <w:rPr>
          <w:color w:val="000000"/>
          <w:sz w:val="18"/>
          <w:szCs w:val="18"/>
        </w:rPr>
      </w:pPr>
      <w:r>
        <w:rPr>
          <w:vertAlign w:val="superscript"/>
        </w:rPr>
        <w:footnoteRef/>
      </w:r>
      <w:r>
        <w:rPr>
          <w:rFonts w:ascii="Times New Roman" w:eastAsia="Times New Roman" w:hAnsi="Times New Roman" w:cs="Times New Roman"/>
          <w:color w:val="000000"/>
          <w:sz w:val="20"/>
          <w:szCs w:val="20"/>
        </w:rPr>
        <w:t xml:space="preserve"> </w:t>
      </w:r>
      <w:r>
        <w:rPr>
          <w:color w:val="000000"/>
          <w:sz w:val="18"/>
          <w:szCs w:val="18"/>
        </w:rPr>
        <w:t>Documento de Posición Institucional, Tarjeta Informativa, Secretaría de Educación, Subdirección de Presupuesto.</w:t>
      </w:r>
    </w:p>
  </w:footnote>
  <w:footnote w:id="36">
    <w:p w14:paraId="375004A5" w14:textId="77777777" w:rsidR="006041CA" w:rsidRDefault="001271CC">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Formato Anexo E Avance del Documento Institucional Seguimiento a Aspectos Susceptibles de Mejora clasificados como institucionales, derivados de informes y evaluaciones, 13 de mayo 2024.</w:t>
      </w:r>
    </w:p>
  </w:footnote>
  <w:footnote w:id="37">
    <w:p w14:paraId="13CF0D1A" w14:textId="77777777" w:rsidR="006041CA" w:rsidRDefault="001271C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18"/>
          <w:szCs w:val="18"/>
        </w:rPr>
        <w:t xml:space="preserve"> Corresponde al 2° Trimestre, la información es a fecha del 13 de mayo de 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FC277" w14:textId="77777777" w:rsidR="006041CA" w:rsidRDefault="006041C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bl>
    <w:tblPr>
      <w:tblStyle w:val="ac"/>
      <w:tblW w:w="11263"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821"/>
      <w:gridCol w:w="6476"/>
      <w:gridCol w:w="1966"/>
    </w:tblGrid>
    <w:tr w:rsidR="006041CA" w14:paraId="5DC94780" w14:textId="77777777">
      <w:trPr>
        <w:trHeight w:val="943"/>
      </w:trPr>
      <w:tc>
        <w:tcPr>
          <w:tcW w:w="2821" w:type="dxa"/>
        </w:tcPr>
        <w:p w14:paraId="1CE44EB0" w14:textId="77777777" w:rsidR="006041CA" w:rsidRDefault="001271CC">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hidden="0" allowOverlap="1" wp14:anchorId="14297728" wp14:editId="15CCFEB1">
                <wp:simplePos x="0" y="0"/>
                <wp:positionH relativeFrom="column">
                  <wp:posOffset>147955</wp:posOffset>
                </wp:positionH>
                <wp:positionV relativeFrom="paragraph">
                  <wp:posOffset>166370</wp:posOffset>
                </wp:positionV>
                <wp:extent cx="1441450" cy="553720"/>
                <wp:effectExtent l="0" t="0" r="0" b="0"/>
                <wp:wrapTopAndBottom distT="0" distB="0"/>
                <wp:docPr id="2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441450" cy="553720"/>
                        </a:xfrm>
                        <a:prstGeom prst="rect">
                          <a:avLst/>
                        </a:prstGeom>
                        <a:ln/>
                      </pic:spPr>
                    </pic:pic>
                  </a:graphicData>
                </a:graphic>
              </wp:anchor>
            </w:drawing>
          </w:r>
        </w:p>
      </w:tc>
      <w:tc>
        <w:tcPr>
          <w:tcW w:w="6476" w:type="dxa"/>
          <w:vAlign w:val="center"/>
        </w:tcPr>
        <w:p w14:paraId="7DAB6849" w14:textId="77777777" w:rsidR="006041CA" w:rsidRDefault="001271CC">
          <w:pPr>
            <w:pBdr>
              <w:top w:val="nil"/>
              <w:left w:val="nil"/>
              <w:bottom w:val="nil"/>
              <w:right w:val="nil"/>
              <w:between w:val="nil"/>
            </w:pBdr>
            <w:tabs>
              <w:tab w:val="center" w:pos="4419"/>
              <w:tab w:val="right" w:pos="8838"/>
            </w:tabs>
            <w:jc w:val="center"/>
            <w:rPr>
              <w:b/>
              <w:color w:val="000000"/>
            </w:rPr>
          </w:pPr>
          <w:r>
            <w:rPr>
              <w:b/>
              <w:color w:val="000000"/>
            </w:rPr>
            <w:t>Evaluación Específica del Desempeño del Programa Presupuestario Educación Básica</w:t>
          </w:r>
        </w:p>
        <w:p w14:paraId="33CCBB1F" w14:textId="77777777" w:rsidR="006041CA" w:rsidRDefault="001271CC">
          <w:pPr>
            <w:pBdr>
              <w:top w:val="nil"/>
              <w:left w:val="nil"/>
              <w:bottom w:val="nil"/>
              <w:right w:val="nil"/>
              <w:between w:val="nil"/>
            </w:pBdr>
            <w:tabs>
              <w:tab w:val="center" w:pos="4419"/>
              <w:tab w:val="right" w:pos="8838"/>
            </w:tabs>
            <w:jc w:val="center"/>
            <w:rPr>
              <w:b/>
              <w:color w:val="000000"/>
            </w:rPr>
          </w:pPr>
          <w:r>
            <w:rPr>
              <w:b/>
              <w:color w:val="000000"/>
            </w:rPr>
            <w:t>Ejercicio Fiscal 2023</w:t>
          </w:r>
        </w:p>
      </w:tc>
      <w:tc>
        <w:tcPr>
          <w:tcW w:w="1966" w:type="dxa"/>
        </w:tcPr>
        <w:p w14:paraId="50335ED1" w14:textId="77777777" w:rsidR="006041CA" w:rsidRDefault="001271CC">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9264" behindDoc="0" locked="0" layoutInCell="1" hidden="0" allowOverlap="1" wp14:anchorId="745398E0" wp14:editId="461CBBA4">
                <wp:simplePos x="0" y="0"/>
                <wp:positionH relativeFrom="column">
                  <wp:posOffset>200025</wp:posOffset>
                </wp:positionH>
                <wp:positionV relativeFrom="paragraph">
                  <wp:posOffset>128270</wp:posOffset>
                </wp:positionV>
                <wp:extent cx="514720" cy="736600"/>
                <wp:effectExtent l="0" t="0" r="0" b="0"/>
                <wp:wrapTopAndBottom distT="0" distB="0"/>
                <wp:docPr id="226"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2"/>
                        <a:srcRect/>
                        <a:stretch>
                          <a:fillRect/>
                        </a:stretch>
                      </pic:blipFill>
                      <pic:spPr>
                        <a:xfrm>
                          <a:off x="0" y="0"/>
                          <a:ext cx="514720" cy="736600"/>
                        </a:xfrm>
                        <a:prstGeom prst="rect">
                          <a:avLst/>
                        </a:prstGeom>
                        <a:ln/>
                      </pic:spPr>
                    </pic:pic>
                  </a:graphicData>
                </a:graphic>
              </wp:anchor>
            </w:drawing>
          </w:r>
        </w:p>
      </w:tc>
    </w:tr>
  </w:tbl>
  <w:p w14:paraId="0DC8CF99" w14:textId="77777777" w:rsidR="006041CA" w:rsidRDefault="006041C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488F"/>
    <w:multiLevelType w:val="multilevel"/>
    <w:tmpl w:val="C114A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9FD4453"/>
    <w:multiLevelType w:val="multilevel"/>
    <w:tmpl w:val="B4A6E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09E1424"/>
    <w:multiLevelType w:val="multilevel"/>
    <w:tmpl w:val="CD8CFA3C"/>
    <w:lvl w:ilvl="0">
      <w:start w:val="1"/>
      <w:numFmt w:val="lowerRoman"/>
      <w:lvlText w:val="%1."/>
      <w:lvlJc w:val="right"/>
      <w:pPr>
        <w:ind w:left="720" w:hanging="360"/>
      </w:pPr>
      <w:rPr>
        <w:rFonts w:ascii="Arial" w:eastAsia="Arial" w:hAnsi="Arial" w:cs="Arial"/>
        <w:b w:val="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50C73E3"/>
    <w:multiLevelType w:val="multilevel"/>
    <w:tmpl w:val="53FC7ADC"/>
    <w:lvl w:ilvl="0">
      <w:start w:val="1"/>
      <w:numFmt w:val="low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03B7B49"/>
    <w:multiLevelType w:val="multilevel"/>
    <w:tmpl w:val="D41A8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9AB27CD"/>
    <w:multiLevelType w:val="multilevel"/>
    <w:tmpl w:val="4B321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26150CA"/>
    <w:multiLevelType w:val="multilevel"/>
    <w:tmpl w:val="5DFAB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B276665"/>
    <w:multiLevelType w:val="multilevel"/>
    <w:tmpl w:val="04E4D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40466C0"/>
    <w:multiLevelType w:val="multilevel"/>
    <w:tmpl w:val="2E1C4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8102D36"/>
    <w:multiLevelType w:val="multilevel"/>
    <w:tmpl w:val="5D505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9247B07"/>
    <w:multiLevelType w:val="multilevel"/>
    <w:tmpl w:val="3C6A2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FD6648B"/>
    <w:multiLevelType w:val="multilevel"/>
    <w:tmpl w:val="F2706D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5763DF5"/>
    <w:multiLevelType w:val="multilevel"/>
    <w:tmpl w:val="456E1C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7D34F1D"/>
    <w:multiLevelType w:val="multilevel"/>
    <w:tmpl w:val="89E48054"/>
    <w:lvl w:ilvl="0">
      <w:start w:val="1"/>
      <w:numFmt w:val="upperRoman"/>
      <w:lvlText w:val="%1."/>
      <w:lvlJc w:val="right"/>
      <w:pPr>
        <w:ind w:left="1425" w:hanging="360"/>
      </w:pPr>
      <w:rPr>
        <w:b w:val="0"/>
        <w:sz w:val="22"/>
        <w:szCs w:val="22"/>
      </w:rPr>
    </w:lvl>
    <w:lvl w:ilvl="1">
      <w:start w:val="1"/>
      <w:numFmt w:val="bullet"/>
      <w:lvlText w:val="o"/>
      <w:lvlJc w:val="left"/>
      <w:pPr>
        <w:ind w:left="2145" w:hanging="360"/>
      </w:pPr>
      <w:rPr>
        <w:rFonts w:ascii="Courier New" w:eastAsia="Courier New" w:hAnsi="Courier New" w:cs="Courier New"/>
      </w:rPr>
    </w:lvl>
    <w:lvl w:ilvl="2">
      <w:start w:val="1"/>
      <w:numFmt w:val="bullet"/>
      <w:lvlText w:val="▪"/>
      <w:lvlJc w:val="left"/>
      <w:pPr>
        <w:ind w:left="2865" w:hanging="360"/>
      </w:pPr>
      <w:rPr>
        <w:rFonts w:ascii="Noto Sans Symbols" w:eastAsia="Noto Sans Symbols" w:hAnsi="Noto Sans Symbols" w:cs="Noto Sans Symbols"/>
      </w:rPr>
    </w:lvl>
    <w:lvl w:ilvl="3">
      <w:start w:val="1"/>
      <w:numFmt w:val="bullet"/>
      <w:lvlText w:val="●"/>
      <w:lvlJc w:val="left"/>
      <w:pPr>
        <w:ind w:left="3585" w:hanging="360"/>
      </w:pPr>
      <w:rPr>
        <w:rFonts w:ascii="Noto Sans Symbols" w:eastAsia="Noto Sans Symbols" w:hAnsi="Noto Sans Symbols" w:cs="Noto Sans Symbols"/>
      </w:rPr>
    </w:lvl>
    <w:lvl w:ilvl="4">
      <w:start w:val="1"/>
      <w:numFmt w:val="bullet"/>
      <w:lvlText w:val="o"/>
      <w:lvlJc w:val="left"/>
      <w:pPr>
        <w:ind w:left="4305" w:hanging="360"/>
      </w:pPr>
      <w:rPr>
        <w:rFonts w:ascii="Courier New" w:eastAsia="Courier New" w:hAnsi="Courier New" w:cs="Courier New"/>
      </w:rPr>
    </w:lvl>
    <w:lvl w:ilvl="5">
      <w:start w:val="1"/>
      <w:numFmt w:val="bullet"/>
      <w:lvlText w:val="▪"/>
      <w:lvlJc w:val="left"/>
      <w:pPr>
        <w:ind w:left="5025" w:hanging="360"/>
      </w:pPr>
      <w:rPr>
        <w:rFonts w:ascii="Noto Sans Symbols" w:eastAsia="Noto Sans Symbols" w:hAnsi="Noto Sans Symbols" w:cs="Noto Sans Symbols"/>
      </w:rPr>
    </w:lvl>
    <w:lvl w:ilvl="6">
      <w:start w:val="1"/>
      <w:numFmt w:val="bullet"/>
      <w:lvlText w:val="●"/>
      <w:lvlJc w:val="left"/>
      <w:pPr>
        <w:ind w:left="5745" w:hanging="360"/>
      </w:pPr>
      <w:rPr>
        <w:rFonts w:ascii="Noto Sans Symbols" w:eastAsia="Noto Sans Symbols" w:hAnsi="Noto Sans Symbols" w:cs="Noto Sans Symbols"/>
      </w:rPr>
    </w:lvl>
    <w:lvl w:ilvl="7">
      <w:start w:val="1"/>
      <w:numFmt w:val="bullet"/>
      <w:lvlText w:val="o"/>
      <w:lvlJc w:val="left"/>
      <w:pPr>
        <w:ind w:left="6465" w:hanging="360"/>
      </w:pPr>
      <w:rPr>
        <w:rFonts w:ascii="Courier New" w:eastAsia="Courier New" w:hAnsi="Courier New" w:cs="Courier New"/>
      </w:rPr>
    </w:lvl>
    <w:lvl w:ilvl="8">
      <w:start w:val="1"/>
      <w:numFmt w:val="bullet"/>
      <w:lvlText w:val="▪"/>
      <w:lvlJc w:val="left"/>
      <w:pPr>
        <w:ind w:left="7185" w:hanging="360"/>
      </w:pPr>
      <w:rPr>
        <w:rFonts w:ascii="Noto Sans Symbols" w:eastAsia="Noto Sans Symbols" w:hAnsi="Noto Sans Symbols" w:cs="Noto Sans Symbols"/>
      </w:rPr>
    </w:lvl>
  </w:abstractNum>
  <w:abstractNum w:abstractNumId="14">
    <w:nsid w:val="69A64210"/>
    <w:multiLevelType w:val="multilevel"/>
    <w:tmpl w:val="2AFAF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042764B"/>
    <w:multiLevelType w:val="multilevel"/>
    <w:tmpl w:val="D6AC0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74BE6ACD"/>
    <w:multiLevelType w:val="multilevel"/>
    <w:tmpl w:val="0F5A2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2"/>
  </w:num>
  <w:num w:numId="3">
    <w:abstractNumId w:val="4"/>
  </w:num>
  <w:num w:numId="4">
    <w:abstractNumId w:val="8"/>
  </w:num>
  <w:num w:numId="5">
    <w:abstractNumId w:val="10"/>
  </w:num>
  <w:num w:numId="6">
    <w:abstractNumId w:val="11"/>
  </w:num>
  <w:num w:numId="7">
    <w:abstractNumId w:val="14"/>
  </w:num>
  <w:num w:numId="8">
    <w:abstractNumId w:val="1"/>
  </w:num>
  <w:num w:numId="9">
    <w:abstractNumId w:val="6"/>
  </w:num>
  <w:num w:numId="10">
    <w:abstractNumId w:val="5"/>
  </w:num>
  <w:num w:numId="11">
    <w:abstractNumId w:val="12"/>
  </w:num>
  <w:num w:numId="12">
    <w:abstractNumId w:val="9"/>
  </w:num>
  <w:num w:numId="13">
    <w:abstractNumId w:val="0"/>
  </w:num>
  <w:num w:numId="14">
    <w:abstractNumId w:val="3"/>
  </w:num>
  <w:num w:numId="15">
    <w:abstractNumId w:val="16"/>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1CA"/>
    <w:rsid w:val="001077FE"/>
    <w:rsid w:val="001271CC"/>
    <w:rsid w:val="00341417"/>
    <w:rsid w:val="003F472C"/>
    <w:rsid w:val="00517E71"/>
    <w:rsid w:val="006041CA"/>
    <w:rsid w:val="006147C4"/>
    <w:rsid w:val="00B551B3"/>
    <w:rsid w:val="00B85546"/>
    <w:rsid w:val="00E91308"/>
    <w:rsid w:val="00FF59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B2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067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4067B1"/>
    <w:rPr>
      <w:rFonts w:asciiTheme="majorHAnsi" w:eastAsiaTheme="majorEastAsia" w:hAnsiTheme="majorHAnsi" w:cstheme="majorBidi"/>
      <w:color w:val="2E74B5" w:themeColor="accent1" w:themeShade="BF"/>
      <w:sz w:val="32"/>
      <w:szCs w:val="32"/>
    </w:rPr>
  </w:style>
  <w:style w:type="table" w:styleId="Tablaconcuadrcula">
    <w:name w:val="Table Grid"/>
    <w:basedOn w:val="Tablanormal"/>
    <w:uiPriority w:val="39"/>
    <w:rsid w:val="000311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B574D1"/>
    <w:rPr>
      <w:b/>
      <w:bCs/>
    </w:rPr>
  </w:style>
  <w:style w:type="paragraph" w:styleId="Encabezado">
    <w:name w:val="header"/>
    <w:basedOn w:val="Normal"/>
    <w:link w:val="EncabezadoCar"/>
    <w:uiPriority w:val="99"/>
    <w:unhideWhenUsed/>
    <w:rsid w:val="005350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50DB"/>
  </w:style>
  <w:style w:type="paragraph" w:styleId="Piedepgina">
    <w:name w:val="footer"/>
    <w:basedOn w:val="Normal"/>
    <w:link w:val="PiedepginaCar"/>
    <w:uiPriority w:val="99"/>
    <w:unhideWhenUsed/>
    <w:rsid w:val="005350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50DB"/>
  </w:style>
  <w:style w:type="paragraph" w:styleId="Sinespaciado">
    <w:name w:val="No Spacing"/>
    <w:link w:val="SinespaciadoCar"/>
    <w:uiPriority w:val="1"/>
    <w:qFormat/>
    <w:rsid w:val="00DC632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DC632D"/>
    <w:rPr>
      <w:rFonts w:eastAsiaTheme="minorEastAsia"/>
      <w:lang w:eastAsia="es-MX"/>
    </w:rPr>
  </w:style>
  <w:style w:type="paragraph" w:styleId="Prrafodelista">
    <w:name w:val="List Paragraph"/>
    <w:basedOn w:val="Normal"/>
    <w:link w:val="PrrafodelistaCar"/>
    <w:uiPriority w:val="34"/>
    <w:qFormat/>
    <w:rsid w:val="00DD197C"/>
    <w:pPr>
      <w:spacing w:after="0" w:line="240" w:lineRule="auto"/>
      <w:ind w:left="720"/>
      <w:contextualSpacing/>
      <w:jc w:val="both"/>
    </w:pPr>
    <w:rPr>
      <w:rFonts w:ascii="Times New Roman" w:eastAsia="Times New Roman" w:hAnsi="Times New Roman" w:cs="Times New Roman"/>
      <w:sz w:val="24"/>
      <w:szCs w:val="24"/>
    </w:rPr>
  </w:style>
  <w:style w:type="character" w:customStyle="1" w:styleId="PrrafodelistaCar">
    <w:name w:val="Párrafo de lista Car"/>
    <w:link w:val="Prrafodelista"/>
    <w:uiPriority w:val="34"/>
    <w:rsid w:val="00DD197C"/>
    <w:rPr>
      <w:rFonts w:ascii="Times New Roman" w:eastAsia="Times New Roman" w:hAnsi="Times New Roman" w:cs="Times New Roman"/>
      <w:sz w:val="24"/>
      <w:szCs w:val="24"/>
      <w:lang w:eastAsia="es-MX"/>
    </w:rPr>
  </w:style>
  <w:style w:type="character" w:styleId="Refdenotaalpie">
    <w:name w:val="footnote reference"/>
    <w:basedOn w:val="Fuentedeprrafopredeter"/>
    <w:uiPriority w:val="99"/>
    <w:semiHidden/>
    <w:unhideWhenUsed/>
    <w:rsid w:val="00DD197C"/>
    <w:rPr>
      <w:vertAlign w:val="superscript"/>
    </w:rPr>
  </w:style>
  <w:style w:type="paragraph" w:styleId="Textonotapie">
    <w:name w:val="footnote text"/>
    <w:basedOn w:val="Normal"/>
    <w:link w:val="TextonotapieCar"/>
    <w:uiPriority w:val="99"/>
    <w:semiHidden/>
    <w:unhideWhenUsed/>
    <w:rsid w:val="00DD197C"/>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uiPriority w:val="99"/>
    <w:semiHidden/>
    <w:rsid w:val="00DD197C"/>
    <w:rPr>
      <w:rFonts w:ascii="Times New Roman" w:eastAsia="Times New Roman" w:hAnsi="Times New Roman" w:cs="Times New Roman"/>
      <w:sz w:val="20"/>
      <w:szCs w:val="20"/>
      <w:lang w:eastAsia="es-MX"/>
    </w:rPr>
  </w:style>
  <w:style w:type="paragraph" w:styleId="TtulodeTDC">
    <w:name w:val="TOC Heading"/>
    <w:basedOn w:val="Ttulo1"/>
    <w:next w:val="Normal"/>
    <w:uiPriority w:val="39"/>
    <w:unhideWhenUsed/>
    <w:qFormat/>
    <w:rsid w:val="00EA7021"/>
    <w:pPr>
      <w:outlineLvl w:val="9"/>
    </w:pPr>
  </w:style>
  <w:style w:type="paragraph" w:styleId="TDC1">
    <w:name w:val="toc 1"/>
    <w:basedOn w:val="Normal"/>
    <w:next w:val="Normal"/>
    <w:autoRedefine/>
    <w:uiPriority w:val="39"/>
    <w:unhideWhenUsed/>
    <w:rsid w:val="00EA7021"/>
    <w:pPr>
      <w:spacing w:after="100"/>
    </w:pPr>
  </w:style>
  <w:style w:type="character" w:styleId="Hipervnculo">
    <w:name w:val="Hyperlink"/>
    <w:basedOn w:val="Fuentedeprrafopredeter"/>
    <w:uiPriority w:val="99"/>
    <w:unhideWhenUsed/>
    <w:rsid w:val="00EA7021"/>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B8554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067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4067B1"/>
    <w:rPr>
      <w:rFonts w:asciiTheme="majorHAnsi" w:eastAsiaTheme="majorEastAsia" w:hAnsiTheme="majorHAnsi" w:cstheme="majorBidi"/>
      <w:color w:val="2E74B5" w:themeColor="accent1" w:themeShade="BF"/>
      <w:sz w:val="32"/>
      <w:szCs w:val="32"/>
    </w:rPr>
  </w:style>
  <w:style w:type="table" w:styleId="Tablaconcuadrcula">
    <w:name w:val="Table Grid"/>
    <w:basedOn w:val="Tablanormal"/>
    <w:uiPriority w:val="39"/>
    <w:rsid w:val="000311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B574D1"/>
    <w:rPr>
      <w:b/>
      <w:bCs/>
    </w:rPr>
  </w:style>
  <w:style w:type="paragraph" w:styleId="Encabezado">
    <w:name w:val="header"/>
    <w:basedOn w:val="Normal"/>
    <w:link w:val="EncabezadoCar"/>
    <w:uiPriority w:val="99"/>
    <w:unhideWhenUsed/>
    <w:rsid w:val="005350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50DB"/>
  </w:style>
  <w:style w:type="paragraph" w:styleId="Piedepgina">
    <w:name w:val="footer"/>
    <w:basedOn w:val="Normal"/>
    <w:link w:val="PiedepginaCar"/>
    <w:uiPriority w:val="99"/>
    <w:unhideWhenUsed/>
    <w:rsid w:val="005350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50DB"/>
  </w:style>
  <w:style w:type="paragraph" w:styleId="Sinespaciado">
    <w:name w:val="No Spacing"/>
    <w:link w:val="SinespaciadoCar"/>
    <w:uiPriority w:val="1"/>
    <w:qFormat/>
    <w:rsid w:val="00DC632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DC632D"/>
    <w:rPr>
      <w:rFonts w:eastAsiaTheme="minorEastAsia"/>
      <w:lang w:eastAsia="es-MX"/>
    </w:rPr>
  </w:style>
  <w:style w:type="paragraph" w:styleId="Prrafodelista">
    <w:name w:val="List Paragraph"/>
    <w:basedOn w:val="Normal"/>
    <w:link w:val="PrrafodelistaCar"/>
    <w:uiPriority w:val="34"/>
    <w:qFormat/>
    <w:rsid w:val="00DD197C"/>
    <w:pPr>
      <w:spacing w:after="0" w:line="240" w:lineRule="auto"/>
      <w:ind w:left="720"/>
      <w:contextualSpacing/>
      <w:jc w:val="both"/>
    </w:pPr>
    <w:rPr>
      <w:rFonts w:ascii="Times New Roman" w:eastAsia="Times New Roman" w:hAnsi="Times New Roman" w:cs="Times New Roman"/>
      <w:sz w:val="24"/>
      <w:szCs w:val="24"/>
    </w:rPr>
  </w:style>
  <w:style w:type="character" w:customStyle="1" w:styleId="PrrafodelistaCar">
    <w:name w:val="Párrafo de lista Car"/>
    <w:link w:val="Prrafodelista"/>
    <w:uiPriority w:val="34"/>
    <w:rsid w:val="00DD197C"/>
    <w:rPr>
      <w:rFonts w:ascii="Times New Roman" w:eastAsia="Times New Roman" w:hAnsi="Times New Roman" w:cs="Times New Roman"/>
      <w:sz w:val="24"/>
      <w:szCs w:val="24"/>
      <w:lang w:eastAsia="es-MX"/>
    </w:rPr>
  </w:style>
  <w:style w:type="character" w:styleId="Refdenotaalpie">
    <w:name w:val="footnote reference"/>
    <w:basedOn w:val="Fuentedeprrafopredeter"/>
    <w:uiPriority w:val="99"/>
    <w:semiHidden/>
    <w:unhideWhenUsed/>
    <w:rsid w:val="00DD197C"/>
    <w:rPr>
      <w:vertAlign w:val="superscript"/>
    </w:rPr>
  </w:style>
  <w:style w:type="paragraph" w:styleId="Textonotapie">
    <w:name w:val="footnote text"/>
    <w:basedOn w:val="Normal"/>
    <w:link w:val="TextonotapieCar"/>
    <w:uiPriority w:val="99"/>
    <w:semiHidden/>
    <w:unhideWhenUsed/>
    <w:rsid w:val="00DD197C"/>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uiPriority w:val="99"/>
    <w:semiHidden/>
    <w:rsid w:val="00DD197C"/>
    <w:rPr>
      <w:rFonts w:ascii="Times New Roman" w:eastAsia="Times New Roman" w:hAnsi="Times New Roman" w:cs="Times New Roman"/>
      <w:sz w:val="20"/>
      <w:szCs w:val="20"/>
      <w:lang w:eastAsia="es-MX"/>
    </w:rPr>
  </w:style>
  <w:style w:type="paragraph" w:styleId="TtulodeTDC">
    <w:name w:val="TOC Heading"/>
    <w:basedOn w:val="Ttulo1"/>
    <w:next w:val="Normal"/>
    <w:uiPriority w:val="39"/>
    <w:unhideWhenUsed/>
    <w:qFormat/>
    <w:rsid w:val="00EA7021"/>
    <w:pPr>
      <w:outlineLvl w:val="9"/>
    </w:pPr>
  </w:style>
  <w:style w:type="paragraph" w:styleId="TDC1">
    <w:name w:val="toc 1"/>
    <w:basedOn w:val="Normal"/>
    <w:next w:val="Normal"/>
    <w:autoRedefine/>
    <w:uiPriority w:val="39"/>
    <w:unhideWhenUsed/>
    <w:rsid w:val="00EA7021"/>
    <w:pPr>
      <w:spacing w:after="100"/>
    </w:pPr>
  </w:style>
  <w:style w:type="character" w:styleId="Hipervnculo">
    <w:name w:val="Hyperlink"/>
    <w:basedOn w:val="Fuentedeprrafopredeter"/>
    <w:uiPriority w:val="99"/>
    <w:unhideWhenUsed/>
    <w:rsid w:val="00EA7021"/>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B855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940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of.gob.mx/nota_detalle.php?codigo=5674889&amp;fecha=19/12/2022" TargetMode="External"/><Relationship Id="rId18" Type="http://schemas.openxmlformats.org/officeDocument/2006/relationships/hyperlink" Target="https://www.planeacion.sep.gob.mx/Doc/estadistica_e_indicadores/principales_cifras/principales_cifras_2022_2023_bolsillo.pdf"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transparenciapresupuestaria.gob.mx/work/models/PTP/Capacitacion/GuiaMIR.pdf" TargetMode="External"/><Relationship Id="rId2" Type="http://schemas.openxmlformats.org/officeDocument/2006/relationships/numbering" Target="numbering.xml"/><Relationship Id="rId16" Type="http://schemas.openxmlformats.org/officeDocument/2006/relationships/hyperlink" Target="https://www.conac.gob.mx/work/models/CONAC/normatividad/NOR_01_15_002.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ppef.hacienda.gob.mx/es/PPEF2023/generales"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transparenciapresupuestaria.gob.mx/Datos-Abierto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transparenciapresupuestaria.gob.mx/Datos-Abierto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IS7z9NFsCyWmrdI/SRyqR6/axA==">CgMxLjAyCGguZ2pkZ3hzMgloLjMwajB6bGwyCWguMWZvYjl0ZTIJaC4zem55c2g3MgloLjJldDkycDAyCGgudHlqY3d0MgloLjNkeTZ2a20yCWguMXQzaDVzZjIJaC40ZDM0b2c4MgloLjJzOGV5bzEyCWguMTdkcDh2dTIJaC4zcmRjcmpuMgloLjI2aW4xcmcyCGgubG54Yno5OAByITFBLUxacEtyTUtPS1N6aWRtU09nLUx5ODZPRUpyZldFZQ==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21159</Words>
  <Characters>116375</Characters>
  <Application>Microsoft Office Word</Application>
  <DocSecurity>0</DocSecurity>
  <Lines>969</Lines>
  <Paragraphs>274</Paragraphs>
  <ScaleCrop>false</ScaleCrop>
  <HeadingPairs>
    <vt:vector size="2" baseType="variant">
      <vt:variant>
        <vt:lpstr>Título</vt:lpstr>
      </vt:variant>
      <vt:variant>
        <vt:i4>1</vt:i4>
      </vt:variant>
    </vt:vector>
  </HeadingPairs>
  <TitlesOfParts>
    <vt:vector size="1" baseType="lpstr">
      <vt:lpstr/>
    </vt:vector>
  </TitlesOfParts>
  <Company>Lenovo</Company>
  <LinksUpToDate>false</LinksUpToDate>
  <CharactersWithSpaces>137260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nmoraleso</dc:creator>
  <cp:lastModifiedBy>COPAIPSE100</cp:lastModifiedBy>
  <cp:revision>2</cp:revision>
  <dcterms:created xsi:type="dcterms:W3CDTF">2025-02-07T16:25:00Z</dcterms:created>
  <dcterms:modified xsi:type="dcterms:W3CDTF">2025-02-07T16:25:00Z</dcterms:modified>
</cp:coreProperties>
</file>